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vanish/>
          <w:sz w:val="32"/>
          <w:szCs w:val="32"/>
          <w:lang w:eastAsia="zh-CN"/>
        </w:rPr>
      </w:pPr>
      <w:bookmarkStart w:id="0" w:name="_Hlk26473981"/>
      <w:bookmarkStart w:id="1" w:name="BookMark1"/>
    </w:p>
    <w:bookmarkEnd w:id="0"/>
    <w:p>
      <w:pPr>
        <w:pStyle w:val="45"/>
        <w:tabs>
          <w:tab w:val="left" w:pos="9240"/>
        </w:tabs>
        <w:contextualSpacing/>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pStyle w:val="45"/>
        <w:tabs>
          <w:tab w:val="left" w:pos="9240"/>
        </w:tabs>
        <w:contextualSpacing/>
        <w:rPr>
          <w:rFonts w:ascii="黑体" w:hAnsi="黑体" w:eastAsia="黑体"/>
          <w:b/>
          <w:sz w:val="21"/>
        </w:rPr>
      </w:pPr>
      <w:r>
        <w:rPr>
          <w:rFonts w:eastAsia="黑体"/>
          <w:b/>
          <w:sz w:val="21"/>
        </w:rPr>
        <w:pict>
          <v:shape id="Text Box 2" o:spid="_x0000_s1026" o:spt="202" type="#_x0000_t202" style="position:absolute;left:0pt;margin-left:227.7pt;margin-top:-2.65pt;height:79.7pt;width:250pt;mso-position-horizontal-relative:margin;mso-position-vertical-relative:margin;z-index:25166950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pj6QEAALsDAAAOAAAAZHJzL2Uyb0RvYy54bWysU9uO2yAQfa/Uf0C8N7ZT9WbFWW2zSlVp&#10;e5G2/QCMwUbFDB1I7PTrO+AkW23fqvoBDQxzmHPmeHMzj5YdFQYDruHVquRMOQmdcX3Dv3/bv3jL&#10;WYjCdcKCUw0/qcBvts+fbSZfqzUMYDuFjEBcqCff8CFGXxdFkIMaRViBV46SGnAUkbbYFx2KidBH&#10;W6zL8nUxAXYeQaoQ6PRuSfJtxtdayfhF66Aisw2n3mJeMa9tWovtRtQ9Cj8YeW5D/EMXozCOHr1C&#10;3Yko2AHNX1CjkQgBdFxJGAvQ2kiVORCbqnzC5mEQXmUuJE7wV5nC/4OVn48P/iuyOL+HmQaYSQR/&#10;D/JHYA52g3C9ukWEaVCio4erJFkx+VCfS5PUoQ4JpJ0+QUdDFocIGWjWOCZViCcjdBrA6Sq6miOT&#10;dPiyevOqLCklKVeV1bp6l8dSiPpS7jHEDwpGloKGI001w4vjfYipHVFfrqTXAljT7Y21eYN9u7PI&#10;joIcsM9fZvDkmnXpsoNUtiCmk8wzUVtIxrmdKZn4ttCdiDHC4ij6AygYAH9xNpGbGh5+HgQqzuxH&#10;R6ol610CvATtJRBOUmnDI2dLuIuLRQ8eTT8Q8jIXB7ekrDaZ82MX5z7JIVmKs5uTBf/c51uP/9z2&#10;NwAAAP//AwBQSwMEFAAGAAgAAAAhAN3KrDffAAAACgEAAA8AAABkcnMvZG93bnJldi54bWxMj8FO&#10;wkAQhu8mvsNmTLwY2IItgdotUdAbHkDCeWjXtrE72+xuaXl7Ry96nJkv/3x/th5NKy7a+caSgtk0&#10;AqGpsGVDlYLjx9tkCcIHpBJbS1rBVXtY57c3GaalHWivL4dQCQ4hn6KCOoQuldIXtTbop7bTxLdP&#10;6wwGHl0lS4cDh5tWzqNoIQ02xB9q7PSm1sXXoTcKFlvXD3vaPGyPrzt876r56eV6Uur+bnx+AhH0&#10;GP5g+NFndcjZ6Wx7Kr1oFcRJEjOqYJI8gmBg9bs4M5nEM5B5Jv9XyL8BAAD//wMAUEsBAi0AFAAG&#10;AAgAAAAhALaDOJL+AAAA4QEAABMAAAAAAAAAAAAAAAAAAAAAAFtDb250ZW50X1R5cGVzXS54bWxQ&#10;SwECLQAUAAYACAAAACEAOP0h/9YAAACUAQAACwAAAAAAAAAAAAAAAAAvAQAAX3JlbHMvLnJlbHNQ&#10;SwECLQAUAAYACAAAACEAnqCaY+kBAAC7AwAADgAAAAAAAAAAAAAAAAAuAgAAZHJzL2Uyb0RvYy54&#10;bWxQSwECLQAUAAYACAAAACEA3cqsN98AAAAKAQAADwAAAAAAAAAAAAAAAABDBAAAZHJzL2Rvd25y&#10;ZXYueG1sUEsFBgAAAAAEAAQA8wAAAE8FAAAAAA==&#10;">
            <v:path/>
            <v:fill focussize="0,0"/>
            <v:stroke on="f" joinstyle="miter"/>
            <v:imagedata o:title=""/>
            <o:lock v:ext="edit"/>
            <v:textbox inset="0mm,0mm,0mm,0mm">
              <w:txbxContent>
                <w:p>
                  <w:pPr>
                    <w:pStyle w:val="29"/>
                    <w:rPr>
                      <w:rFonts w:eastAsia="黑体"/>
                      <w:szCs w:val="96"/>
                    </w:rPr>
                  </w:pPr>
                  <w:r>
                    <w:rPr>
                      <w:rFonts w:eastAsia="黑体"/>
                      <w:szCs w:val="96"/>
                    </w:rPr>
                    <w:t>AQ</w:t>
                  </w:r>
                </w:p>
              </w:txbxContent>
            </v:textbox>
            <w10:anchorlock/>
          </v:shape>
        </w:pict>
      </w:r>
      <w:r>
        <w:rPr>
          <w:rFonts w:eastAsia="黑体"/>
          <w:b/>
          <w:sz w:val="21"/>
        </w:rPr>
        <w:pict>
          <v:shape id="Text Box 12" o:spid="_x0000_s1027" o:spt="202" type="#_x0000_t202" style="position:absolute;left:0pt;margin-left:10.5pt;margin-top:733.1pt;height:31.2pt;width:481.9pt;mso-position-horizontal-relative:margin;mso-position-vertical-relative:margin;z-index:25166848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x6gEAAMEDAAAOAAAAZHJzL2Uyb0RvYy54bWysU8GO0zAQvSPxD5bvNG0XVRA1XS1dFSEt&#10;sNLCBzi2k1g4HjN2m5SvZ+ykXbTcEDlYY4/ned6bl+3t2Ft20hgMuIqvFkvOtJOgjGsr/v3b4c07&#10;zkIUTgkLTlf8rAO/3b1+tR18qdfQgVUaGYG4UA6+4l2MviyKIDvdi7AArx0lG8BeRNpiWygUA6H3&#10;tlgvl5tiAFQeQeoQ6PR+SvJdxm8aLePXpgk6Mltx6i3mFfNap7XYbUXZovCdkXMb4h+66IVx9OgV&#10;6l5EwY5o/oLqjUQI0MSFhL6ApjFSZw7EZrV8weapE15nLiRO8FeZwv+DlV9OT/4RWRw/wEgDzCSC&#10;fwD5IzAH+064Vt8hwtBpoejhVZKsGHwo59IkdShDAqmHz6BoyOIYIQONDfZJFeLJCJ0GcL6KrsfI&#10;JB1uVsT8hlKScjfvN+u3eSqFKC/VHkP8qKFnKag40lAzujg9hJi6EeXlSnosgDXqYKzNG2zrvUV2&#10;EmSAQ/4ygRfXrEuXHaSyCTGdZJqJ2cQxjvXIjJo1SKxrUGfijTD5iv4DCjrAX5wN5KmKh59HgZoz&#10;+8mRdsmAlwAvQX0JhJNUWvHI2RTu42TUo0fTdoQ8TcfBHenbmEz9uYu5XfJJVmT2dDLin/t86/nP&#10;2/0GAAD//wMAUEsDBBQABgAIAAAAIQDhc2E+4AAAAAwBAAAPAAAAZHJzL2Rvd25yZXYueG1sTI/B&#10;TsMwEETvSPyDtUhcEHVqFSuEOBW0cINDS9WzG5skIl5HttOkf89yguPOjmbmlevZ9exsQ+w8Klgu&#10;MmAWa286bBQcPt/uc2AxaTS692gVXGyEdXV9VerC+Al39rxPDaMQjIVW0KY0FJzHurVOx4UfLNLv&#10;ywenE52h4SboicJdz0WWSe50h9TQ6sFuWlt/70enQG7DOO1wc7c9vL7rj6ERx5fLUanbm/n5CViy&#10;c/ozw+98mg4VbTr5EU1kvQKxJJRE+kpKAYwcj/mKYE4kPYhcAq9K/h+i+gEAAP//AwBQSwECLQAU&#10;AAYACAAAACEAtoM4kv4AAADhAQAAEwAAAAAAAAAAAAAAAAAAAAAAW0NvbnRlbnRfVHlwZXNdLnht&#10;bFBLAQItABQABgAIAAAAIQA4/SH/1gAAAJQBAAALAAAAAAAAAAAAAAAAAC8BAABfcmVscy8ucmVs&#10;c1BLAQItABQABgAIAAAAIQBC/f3x6gEAAMEDAAAOAAAAAAAAAAAAAAAAAC4CAABkcnMvZTJvRG9j&#10;LnhtbFBLAQItABQABgAIAAAAIQDhc2E+4AAAAAwBAAAPAAAAAAAAAAAAAAAAAEQEAABkcnMvZG93&#10;bnJldi54bWxQSwUGAAAAAAQABADzAAAAUQUAAAAA&#10;">
            <v:path/>
            <v:fill focussize="0,0"/>
            <v:stroke on="f" joinstyle="miter"/>
            <v:imagedata o:title=""/>
            <o:lock v:ext="edit"/>
            <v:textbox inset="0mm,0mm,0mm,0mm">
              <w:txbxContent>
                <w:p>
                  <w:pPr>
                    <w:jc w:val="center"/>
                    <w:rPr>
                      <w:rFonts w:ascii="黑体" w:eastAsia="黑体"/>
                      <w:sz w:val="30"/>
                    </w:rPr>
                  </w:pPr>
                  <w:r>
                    <w:rPr>
                      <w:rStyle w:val="34"/>
                      <w:rFonts w:hint="eastAsia" w:ascii="黑体" w:hAnsi="黑体" w:eastAsia="黑体"/>
                      <w:b w:val="0"/>
                      <w:sz w:val="28"/>
                      <w:szCs w:val="28"/>
                    </w:rPr>
                    <w:t>中华人民共和国应急管理部</w:t>
                  </w:r>
                  <w:r>
                    <w:rPr>
                      <w:rFonts w:hint="eastAsia" w:ascii="黑体" w:hAnsi="黑体" w:eastAsia="黑体"/>
                      <w:b/>
                      <w:sz w:val="28"/>
                      <w:szCs w:val="28"/>
                    </w:rPr>
                    <w:t xml:space="preserve"> </w:t>
                  </w:r>
                  <w:r>
                    <w:rPr>
                      <w:rFonts w:hint="eastAsia" w:ascii="黑体" w:eastAsia="黑体"/>
                      <w:b/>
                      <w:sz w:val="28"/>
                    </w:rPr>
                    <w:t xml:space="preserve">  </w:t>
                  </w:r>
                  <w:r>
                    <w:rPr>
                      <w:rFonts w:hint="eastAsia" w:ascii="黑体" w:eastAsia="黑体"/>
                      <w:sz w:val="28"/>
                    </w:rPr>
                    <w:t>发 布</w:t>
                  </w:r>
                </w:p>
              </w:txbxContent>
            </v:textbox>
            <w10:anchorlock/>
          </v:shape>
        </w:pict>
      </w:r>
      <w:r>
        <w:rPr>
          <w:rFonts w:eastAsia="黑体"/>
          <w:b/>
          <w:sz w:val="21"/>
        </w:rPr>
        <w:pict>
          <v:shape id="Text Box 11" o:spid="_x0000_s1028" o:spt="202" type="#_x0000_t202" style="position:absolute;left:0pt;margin-left:322.9pt;margin-top:696.65pt;height:24.6pt;width:159pt;mso-position-horizontal-relative:margin;mso-position-vertical-relative:margin;z-index:25166540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xLyKpuEAAAANAQAADwAAAGRycy9kb3ducmV2LnhtbEyP&#10;QU+DQBCF7yb+h82YeDF2ESixyNJoqzc9tDY9T9kViOwsYZdC/73jSY/z3sub7xXr2XbibAbfOlLw&#10;sIhAGKqcbqlWcPh8u38E4QOSxs6RUXAxHtbl9VWBuXYT7cx5H2rBJeRzVNCE0OdS+qoxFv3C9YbY&#10;+3KDxcDnUEs94MTltpNxFGXSYkv8ocHebBpTfe9HqyDbDuO0o83d9vD6jh99HR9fLkelbm/m5ycQ&#10;wczhLwy/+IwOJTOd3Ejai4470iWjBzaSVZKA4MgqS1g6sZSm8RJkWcj/K8ofAAAA//8DAFBLAQIt&#10;ABQABgAIAAAAIQC2gziS/gAAAOEBAAATAAAAAAAAAAAAAAAAAAAAAABbQ29udGVudF9UeXBlc10u&#10;eG1sUEsBAi0AFAAGAAgAAAAhADj9If/WAAAAlAEAAAsAAAAAAAAAAAAAAAAALwEAAF9yZWxzLy5y&#10;ZWxzUEsBAi0AFAAGAAgAAAAhAJv5vYvrAQAAwQMAAA4AAAAAAAAAAAAAAAAALgIAAGRycy9lMm9E&#10;b2MueG1sUEsBAi0AFAAGAAgAAAAhAMS8iqbhAAAADQEAAA8AAAAAAAAAAAAAAAAARQQAAGRycy9k&#10;b3ducmV2LnhtbFBLBQYAAAAABAAEAPMAAABTBQAAAAA=&#10;">
            <v:path/>
            <v:fill focussize="0,0"/>
            <v:stroke on="f" joinstyle="miter"/>
            <v:imagedata o:title=""/>
            <o:lock v:ext="edit"/>
            <v:textbox inset="0mm,0mm,0mm,0mm">
              <w:txbxContent>
                <w:p>
                  <w:pPr>
                    <w:pStyle w:val="25"/>
                    <w:numPr>
                      <w:ilvl w:val="4"/>
                      <w:numId w:val="0"/>
                    </w:numPr>
                    <w:rPr>
                      <w:b/>
                    </w:rPr>
                  </w:pPr>
                  <w:r>
                    <w:rPr>
                      <w:rFonts w:hint="eastAsia" w:ascii="黑体"/>
                    </w:rPr>
                    <w:t>xxxx -xx-xx</w:t>
                  </w:r>
                  <w:r>
                    <w:rPr>
                      <w:rFonts w:hint="eastAsia"/>
                    </w:rPr>
                    <w:t>实施</w:t>
                  </w:r>
                </w:p>
              </w:txbxContent>
            </v:textbox>
            <w10:anchorlock/>
          </v:shape>
        </w:pict>
      </w:r>
      <w:r>
        <w:rPr>
          <w:rFonts w:eastAsia="黑体"/>
          <w:b/>
          <w:sz w:val="21"/>
        </w:rPr>
        <w:pict>
          <v:shape id="Text Box 10" o:spid="_x0000_s1029" o:spt="202" type="#_x0000_t202" style="position:absolute;left:0pt;margin-left:0pt;margin-top:696.65pt;height:24.6pt;width:159pt;mso-position-horizontal-relative:margin;mso-position-vertical-relative:margin;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fe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I2OsDN8AAAAKAQAADwAAAGRycy9kb3ducmV2LnhtbEyP&#10;wU7DMBBE70j8g7VIXBB1mpSqhDgVtHCDQ0vV8zY2SUS8jmynSf+e5QTHfTOanSnWk+3E2fjQOlIw&#10;nyUgDFVOt1QrOHy+3a9AhIiksXNkFFxMgHV5fVVgrt1IO3Pex1pwCIUcFTQx9rmUoWqMxTBzvSHW&#10;vpy3GPn0tdQeRw63nUyTZCkttsQfGuzNpjHV936wCpZbP4w72txtD6/v+NHX6fHlclTq9mZ6fgIR&#10;zRT/zPBbn6tDyZ1ObiAdRKeAh0Sm2WOWgWA9m68YnRgtFukDyLKQ/yeUPwAAAP//AwBQSwECLQAU&#10;AAYACAAAACEAtoM4kv4AAADhAQAAEwAAAAAAAAAAAAAAAAAAAAAAW0NvbnRlbnRfVHlwZXNdLnht&#10;bFBLAQItABQABgAIAAAAIQA4/SH/1gAAAJQBAAALAAAAAAAAAAAAAAAAAC8BAABfcmVscy8ucmVs&#10;c1BLAQItABQABgAIAAAAIQAoCxfe6wEAAMEDAAAOAAAAAAAAAAAAAAAAAC4CAABkcnMvZTJvRG9j&#10;LnhtbFBLAQItABQABgAIAAAAIQAjY6wM3wAAAAoBAAAPAAAAAAAAAAAAAAAAAEUEAABkcnMvZG93&#10;bnJldi54bWxQSwUGAAAAAAQABADzAAAAUQUAAAAA&#10;">
            <v:path/>
            <v:fill focussize="0,0"/>
            <v:stroke on="f" joinstyle="miter"/>
            <v:imagedata o:title=""/>
            <o:lock v:ext="edit"/>
            <v:textbox inset="0mm,0mm,0mm,0mm">
              <w:txbxContent>
                <w:p>
                  <w:pPr>
                    <w:pStyle w:val="26"/>
                    <w:rPr>
                      <w:b/>
                    </w:rPr>
                  </w:pPr>
                  <w:r>
                    <w:rPr>
                      <w:rFonts w:hint="eastAsia" w:ascii="黑体"/>
                    </w:rPr>
                    <w:t>xxxx -xx-xx</w:t>
                  </w:r>
                  <w:r>
                    <w:rPr>
                      <w:rFonts w:hint="eastAsia"/>
                    </w:rPr>
                    <w:t>发布</w:t>
                  </w:r>
                </w:p>
              </w:txbxContent>
            </v:textbox>
            <w10:anchorlock/>
          </v:shape>
        </w:pict>
      </w:r>
      <w:r>
        <w:rPr>
          <w:rFonts w:eastAsia="黑体"/>
          <w:b/>
          <w:sz w:val="21"/>
        </w:rPr>
        <w:pict>
          <v:shape id="Text Box 9" o:spid="_x0000_s1030" o:spt="202" type="#_x0000_t202" style="position:absolute;left:0pt;margin-left:0pt;margin-top:286.25pt;height:368.6pt;width:470pt;mso-position-horizontal-relative:margin;mso-position-vertical-relative:margin;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4/7gEAAMIDAAAOAAAAZHJzL2Uyb0RvYy54bWysU9uO0zAQfUfiHyy/06QVVLtR09XSVRHS&#10;cpEWPsCxncTC8Zix26R8PWOn7aLlDZEHa+zxHM85c7K5mwbLjhqDAVfz5aLkTDsJyriu5t+/7d/c&#10;cBaicEpYcLrmJx343fb1q83oK72CHqzSyAjEhWr0Ne9j9FVRBNnrQYQFeO0o2QIOItIWu0KhGAl9&#10;sMWqLNfFCKg8gtQh0OnDnOTbjN+2WsYvbRt0ZLbm1FvMK+a1SWux3YiqQ+F7I89tiH/oYhDG0aNX&#10;qAcRBTug+QtqMBIhQBsXEoYC2tZInTkQm2X5gs1TL7zOXEic4K8yhf8HKz8fn/xXZHF6DxMNMJMI&#10;/hHkj8Ac7HrhOn2PCGOvhaKHl0myYvShOpcmqUMVEkgzfgJFQxaHCBloanFIqhBPRug0gNNVdD1F&#10;Junw3e36tiwpJSn3dn2zXK3yWApRXco9hvhBw8BSUHOkqWZ4cXwMMbUjqsuV9FoAa9TeWJs32DU7&#10;i+woyAH7/GUGL65Zly47SGUzYjrJPBO1mWScmokZRW0miES7AXUi4gizsehHoKAH/MXZSKaqefh5&#10;EKg5sx8diZcceAnwEjSXQDhJpTWPnM3hLs5OPXg0XU/I83gc3JPArcnUn7s4t0tGyYqcTZ2c+Oc+&#10;33r+9ba/AQAA//8DAFBLAwQUAAYACAAAACEAdfgxGd8AAAAJAQAADwAAAGRycy9kb3ducmV2Lnht&#10;bEyPzU7DMBCE70i8g7VIXBC1CfQvxKmghRscWqqet7GbRMTrKHaa9O1ZTnDcmdHsN9lqdI042y7U&#10;njQ8TBQIS4U3NZUa9l/v9wsQISIZbDxZDRcbYJVfX2WYGj/Q1p53sRRcQiFFDVWMbSplKCrrMEx8&#10;a4m9k+8cRj67UpoOBy53jUyUmkmHNfGHClu7rmzxveudhtmm64ctre82+7cP/GzL5PB6OWh9ezO+&#10;PIOIdox/YfjFZ3TImenoezJBNBp4SNQwnSdTEGwvnxQrR849quUcZJ7J/wvyHwAAAP//AwBQSwEC&#10;LQAUAAYACAAAACEAtoM4kv4AAADhAQAAEwAAAAAAAAAAAAAAAAAAAAAAW0NvbnRlbnRfVHlwZXNd&#10;LnhtbFBLAQItABQABgAIAAAAIQA4/SH/1gAAAJQBAAALAAAAAAAAAAAAAAAAAC8BAABfcmVscy8u&#10;cmVsc1BLAQItABQABgAIAAAAIQAHGg4/7gEAAMIDAAAOAAAAAAAAAAAAAAAAAC4CAABkcnMvZTJv&#10;RG9jLnhtbFBLAQItABQABgAIAAAAIQB1+DEZ3wAAAAkBAAAPAAAAAAAAAAAAAAAAAEgEAABkcnMv&#10;ZG93bnJldi54bWxQSwUGAAAAAAQABADzAAAAVAUAAAAA&#10;">
            <v:path/>
            <v:fill focussize="0,0"/>
            <v:stroke on="f" joinstyle="miter"/>
            <v:imagedata o:title=""/>
            <o:lock v:ext="edit"/>
            <v:textbox inset="0mm,0mm,0mm,0mm">
              <w:txbxContent>
                <w:p>
                  <w:pPr>
                    <w:pStyle w:val="23"/>
                    <w:adjustRightInd w:val="0"/>
                    <w:snapToGrid w:val="0"/>
                    <w:spacing w:line="240" w:lineRule="auto"/>
                    <w:rPr>
                      <w:szCs w:val="52"/>
                    </w:rPr>
                  </w:pPr>
                  <w:r>
                    <w:rPr>
                      <w:rFonts w:hint="eastAsia"/>
                      <w:szCs w:val="52"/>
                    </w:rPr>
                    <w:t>生产安全事故应急救援评估规范</w:t>
                  </w:r>
                </w:p>
                <w:p>
                  <w:pPr>
                    <w:pStyle w:val="23"/>
                    <w:adjustRightInd w:val="0"/>
                    <w:snapToGrid w:val="0"/>
                    <w:spacing w:line="240" w:lineRule="auto"/>
                    <w:rPr>
                      <w:szCs w:val="52"/>
                    </w:rPr>
                  </w:pPr>
                </w:p>
                <w:p>
                  <w:pPr>
                    <w:pStyle w:val="46"/>
                    <w:textAlignment w:val="bottom"/>
                    <w:rPr>
                      <w:rFonts w:eastAsia="黑体"/>
                      <w:szCs w:val="28"/>
                    </w:rPr>
                  </w:pPr>
                  <w:r>
                    <w:rPr>
                      <w:rFonts w:hint="eastAsia" w:eastAsia="黑体"/>
                      <w:szCs w:val="28"/>
                    </w:rPr>
                    <w:t>Specification</w:t>
                  </w:r>
                  <w:r>
                    <w:rPr>
                      <w:rFonts w:eastAsia="黑体"/>
                      <w:szCs w:val="28"/>
                    </w:rPr>
                    <w:t xml:space="preserve"> for emergency rescue assessment on work place accidents</w:t>
                  </w:r>
                </w:p>
                <w:p>
                  <w:pPr>
                    <w:pStyle w:val="24"/>
                    <w:rPr>
                      <w:rFonts w:hAnsi="宋体"/>
                      <w:sz w:val="24"/>
                      <w:szCs w:val="24"/>
                    </w:rPr>
                  </w:pPr>
                  <w:r>
                    <w:rPr>
                      <w:rFonts w:hint="eastAsia" w:hAnsi="宋体"/>
                      <w:sz w:val="24"/>
                      <w:szCs w:val="24"/>
                    </w:rPr>
                    <w:t>（</w:t>
                  </w:r>
                  <w:r>
                    <w:rPr>
                      <w:rFonts w:hint="eastAsia" w:hAnsi="宋体"/>
                      <w:sz w:val="24"/>
                      <w:szCs w:val="24"/>
                      <w:lang w:eastAsia="zh-CN"/>
                    </w:rPr>
                    <w:t>征求意见稿</w:t>
                  </w:r>
                  <w:r>
                    <w:rPr>
                      <w:rFonts w:hint="eastAsia" w:hAnsi="宋体"/>
                      <w:sz w:val="24"/>
                      <w:szCs w:val="24"/>
                    </w:rPr>
                    <w:t>）</w:t>
                  </w:r>
                </w:p>
                <w:p>
                  <w:pPr>
                    <w:autoSpaceDE w:val="0"/>
                    <w:autoSpaceDN w:val="0"/>
                    <w:adjustRightInd w:val="0"/>
                    <w:jc w:val="left"/>
                    <w:rPr>
                      <w:rFonts w:ascii="宋体" w:hAnsi="Times New Roman" w:eastAsia="宋体" w:cs="宋体"/>
                      <w:kern w:val="0"/>
                      <w:szCs w:val="21"/>
                    </w:rPr>
                  </w:pPr>
                </w:p>
                <w:p>
                  <w:pPr>
                    <w:autoSpaceDE w:val="0"/>
                    <w:autoSpaceDN w:val="0"/>
                    <w:adjustRightInd w:val="0"/>
                    <w:jc w:val="left"/>
                    <w:rPr>
                      <w:rFonts w:ascii="宋体" w:hAnsi="Times New Roman" w:eastAsia="宋体" w:cs="宋体"/>
                      <w:kern w:val="0"/>
                      <w:szCs w:val="21"/>
                    </w:rPr>
                  </w:pPr>
                </w:p>
                <w:p>
                  <w:pPr>
                    <w:autoSpaceDE w:val="0"/>
                    <w:autoSpaceDN w:val="0"/>
                    <w:adjustRightInd w:val="0"/>
                    <w:jc w:val="left"/>
                    <w:rPr>
                      <w:rFonts w:ascii="宋体" w:hAnsi="Times New Roman" w:eastAsia="宋体" w:cs="宋体"/>
                      <w:kern w:val="0"/>
                      <w:sz w:val="24"/>
                    </w:rPr>
                  </w:pPr>
                </w:p>
                <w:p>
                  <w:pPr>
                    <w:autoSpaceDE w:val="0"/>
                    <w:autoSpaceDN w:val="0"/>
                    <w:adjustRightInd w:val="0"/>
                    <w:jc w:val="center"/>
                    <w:rPr>
                      <w:rFonts w:ascii="宋体" w:hAnsi="Times New Roman" w:eastAsia="宋体" w:cs="宋体"/>
                      <w:kern w:val="0"/>
                      <w:sz w:val="24"/>
                    </w:rPr>
                  </w:pPr>
                  <w:r>
                    <w:rPr>
                      <w:rFonts w:hint="eastAsia" w:ascii="宋体" w:hAnsi="Times New Roman" w:eastAsia="宋体" w:cs="宋体"/>
                      <w:kern w:val="0"/>
                      <w:sz w:val="24"/>
                    </w:rPr>
                    <w:t>在提交反馈意见时，请将您知道的相关专利连同支持性文件一并附上。</w:t>
                  </w:r>
                </w:p>
              </w:txbxContent>
            </v:textbox>
            <w10:anchorlock/>
          </v:shape>
        </w:pict>
      </w:r>
      <w:r>
        <w:rPr>
          <w:rFonts w:eastAsia="黑体"/>
          <w:b/>
          <w:sz w:val="21"/>
        </w:rPr>
        <w:pict>
          <v:shape id="Text Box 8" o:spid="_x0000_s1031" o:spt="202" type="#_x0000_t202" style="position:absolute;left:0pt;margin-left:4.25pt;margin-top:124.8pt;height:67.75pt;width:470pt;mso-position-horizontal-relative:margin;mso-position-vertical-relative:margin;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5Q7QEAAMEDAAAOAAAAZHJzL2Uyb0RvYy54bWysU8Fu2zAMvQ/YPwi6L3aCNWiNOEWXIsOA&#10;bivQ9QNkWbaFyaJGKbGzrx8lO+m63Yb5IFAi+cj3SG9ux96wo0KvwZZ8ucg5U1ZCrW1b8udv+3fX&#10;nPkgbC0MWFXyk/L8dvv2zWZwhVpBB6ZWyAjE+mJwJe9CcEWWedmpXvgFOGXJ2QD2ItAV26xGMRB6&#10;b7JVnq+zAbB2CFJ5T6/3k5NvE37TKBm+No1XgZmSU28hnZjOKp7ZdiOKFoXrtJzbEP/QRS+0paIX&#10;qHsRBDug/guq1xLBQxMWEvoMmkZLlTgQm2X+B5unTjiVuJA43l1k8v8PVn45PrlHZGH8ACMNMJHw&#10;7gHkd88s7DphW3WHCEOnRE2Fl1GybHC+mFOj1L7wEaQaPkNNQxaHAAlobLCPqhBPRug0gNNFdDUG&#10;Junx6mZ9k+fkkuS7XufvV1ephCjO2Q59+KigZ9EoOdJQE7o4PvgQuxHFOSQW82B0vdfGpAu21c4g&#10;OwpagH36ZvRXYcbGYAsxbUKML4lmZDZxDGM1Ml1TyxEisq6gPhFvhGmv6D8gowP8ydlAO1Vy/+Mg&#10;UHFmPlnSLi7g2cCzUZ0NYSWlljxwNpm7MC3qwaFuO0KepmPhjvRtdKL+0sXcLu1JUmTe6biIv99T&#10;1Muft/0FAAD//wMAUEsDBBQABgAIAAAAIQALeUj13wAAAAkBAAAPAAAAZHJzL2Rvd25yZXYueG1s&#10;TI/BTsMwEETvSPyDtUhcEHUa2igN2VTQwg0OLVXP29gkEfE6ip0m/XvcExxnZzTzNl9PphVn3bvG&#10;MsJ8FoHQXFrVcIVw+Hp/TEE4T6yotawRLtrBuri9ySlTduSdPu99JUIJu4wQau+7TEpX1tqQm9lO&#10;c/C+bW/IB9lXUvU0hnLTyjiKEmmo4bBQU6c3tS5/9oNBSLb9MO5487A9vH3QZ1fFx9fLEfH+bnp5&#10;BuH15P/CcMUP6FAEppMdWDnRIqTLEESIF6sERPBXi+vlhPCULucgi1z+/6D4BQAA//8DAFBLAQIt&#10;ABQABgAIAAAAIQC2gziS/gAAAOEBAAATAAAAAAAAAAAAAAAAAAAAAABbQ29udGVudF9UeXBlc10u&#10;eG1sUEsBAi0AFAAGAAgAAAAhADj9If/WAAAAlAEAAAsAAAAAAAAAAAAAAAAALwEAAF9yZWxzLy5y&#10;ZWxzUEsBAi0AFAAGAAgAAAAhACiWXlDtAQAAwQMAAA4AAAAAAAAAAAAAAAAALgIAAGRycy9lMm9E&#10;b2MueG1sUEsBAi0AFAAGAAgAAAAhAAt5SPXfAAAACQEAAA8AAAAAAAAAAAAAAAAARwQAAGRycy9k&#10;b3ducmV2LnhtbFBLBQYAAAAABAAEAPMAAABTBQAAAAA=&#10;">
            <v:path/>
            <v:fill focussize="0,0"/>
            <v:stroke on="f" joinstyle="miter"/>
            <v:imagedata o:title=""/>
            <o:lock v:ext="edit"/>
            <v:textbox inset="0mm,0mm,0mm,0mm">
              <w:txbxContent>
                <w:p>
                  <w:pPr>
                    <w:pStyle w:val="48"/>
                    <w:ind w:right="140"/>
                    <w:rPr>
                      <w:rFonts w:ascii="黑体" w:eastAsia="黑体"/>
                      <w:b/>
                    </w:rPr>
                  </w:pPr>
                  <w:r>
                    <w:rPr>
                      <w:rFonts w:eastAsia="黑体"/>
                      <w:b/>
                    </w:rPr>
                    <w:t>AQ</w:t>
                  </w:r>
                  <w:r>
                    <w:rPr>
                      <w:rFonts w:hint="eastAsia" w:ascii="黑体" w:eastAsia="黑体"/>
                      <w:b/>
                    </w:rPr>
                    <w:t xml:space="preserve"> </w:t>
                  </w:r>
                  <w:r>
                    <w:rPr>
                      <w:rFonts w:hint="eastAsia" w:ascii="黑体" w:eastAsia="黑体"/>
                    </w:rPr>
                    <w:t>xxxx—xxxx</w:t>
                  </w:r>
                </w:p>
              </w:txbxContent>
            </v:textbox>
            <w10:anchorlock/>
          </v:shape>
        </w:pict>
      </w:r>
      <w:r>
        <w:rPr>
          <w:rFonts w:eastAsia="黑体"/>
          <w:b/>
          <w:sz w:val="21"/>
        </w:rPr>
        <w:pict>
          <v:shape id="Text Box 7" o:spid="_x0000_s1032" o:spt="202" type="#_x0000_t202" style="position:absolute;left:0pt;margin-left:0pt;margin-top:88.9pt;height:39pt;width:481.9pt;mso-position-horizontal-relative:margin;mso-position-vertical-relative:margin;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7T+7AEAAMEDAAAOAAAAZHJzL2Uyb0RvYy54bWysU9uO0zAQfUfiHyy/07S7sIKo6Wrpqghp&#10;uUgLH+A4TmLheMyM26R8PWOn7aLlDZEHa+zxHM85c7K+nQYnDgbJgq/karGUwngNjfVdJb9/2716&#10;KwVF5RvlwJtKHg3J283LF+sxlOYKenCNQcEgnsoxVLKPMZRFQbo3g6IFBOM52QIOKvIWu6JBNTL6&#10;4Iqr5fKmGAGbgKANEZ/ez0m5yfhta3T80rZkonCV5N5iXjGvdVqLzVqVHarQW31qQ/1DF4Oynh+9&#10;QN2rqMQe7V9Qg9UIBG1caBgKaFurTebAbFbLZ2weexVM5sLiULjIRP8PVn8+PIavKOL0HiYeYCZB&#10;4QH0DxIetr3ynblDhLE3quGHV0myYgxUnkqT1FRSAqnHT9DwkNU+QgaaWhySKsxTMDoP4HgR3UxR&#10;aD68WTHza05pzr1+9+Z6madSqPJcHZDiBwODSEElkYea0dXhgWLqRpXnK+kxAmebnXUub7Crtw7F&#10;QbEBdvnLBJ5dcz5d9pDKZsR0kmkmZjPHONWTsA23nCAS6xqaI/NGmH3F/wEHPeAvKUb2VCXp516h&#10;kcJ99KxdMuA5wHNQnwPlNZdWMkoxh9s4G3Uf0HY9I8/T8XDH+rY2U3/q4tQu+yQrcvJ0MuKf+3zr&#10;6c/b/AYAAP//AwBQSwMEFAAGAAgAAAAhANjpooPeAAAACAEAAA8AAABkcnMvZG93bnJldi54bWxM&#10;j0FPwzAMhe9I/IfISFwQSylaN0rTCTa4jcPGtLPXhLaicaokXbt/jznBzfZ7ev5esZpsJ87Gh9aR&#10;godZAsJQ5XRLtYLD5/v9EkSISBo7R0bBxQRYlddXBebajbQz532sBYdQyFFBE2OfSxmqxlgMM9cb&#10;Yu3LeYuRV19L7XHkcNvJNEkyabEl/tBgb9aNqb73g1WQbfww7mh9tzm8bfGjr9Pj6+Wo1O3N9PIM&#10;Ipop/pnhF5/RoWSmkxtIB9Ep4CKRr4sFF2D5KXvk4aQgnc+XIMtC/i9Q/gAAAP//AwBQSwECLQAU&#10;AAYACAAAACEAtoM4kv4AAADhAQAAEwAAAAAAAAAAAAAAAAAAAAAAW0NvbnRlbnRfVHlwZXNdLnht&#10;bFBLAQItABQABgAIAAAAIQA4/SH/1gAAAJQBAAALAAAAAAAAAAAAAAAAAC8BAABfcmVscy8ucmVs&#10;c1BLAQItABQABgAIAAAAIQCSd7T+7AEAAMEDAAAOAAAAAAAAAAAAAAAAAC4CAABkcnMvZTJvRG9j&#10;LnhtbFBLAQItABQABgAIAAAAIQDY6aKD3gAAAAgBAAAPAAAAAAAAAAAAAAAAAEYEAABkcnMvZG93&#10;bnJldi54bWxQSwUGAAAAAAQABADzAAAAUQUAAAAA&#10;">
            <v:path/>
            <v:fill focussize="0,0"/>
            <v:stroke on="f" joinstyle="miter"/>
            <v:imagedata o:title=""/>
            <o:lock v:ext="edit"/>
            <v:textbox inset="0mm,0mm,0mm,0mm">
              <w:txbxContent>
                <w:p>
                  <w:pPr>
                    <w:jc w:val="distribute"/>
                    <w:rPr>
                      <w:rFonts w:ascii="黑体" w:eastAsia="黑体"/>
                      <w:b/>
                      <w:w w:val="110"/>
                      <w:sz w:val="52"/>
                    </w:rPr>
                  </w:pPr>
                  <w:r>
                    <w:rPr>
                      <w:rFonts w:hint="eastAsia" w:ascii="黑体" w:eastAsia="黑体"/>
                      <w:w w:val="110"/>
                      <w:sz w:val="52"/>
                    </w:rPr>
                    <w:t>中华人民共和国安全生产行业标准</w:t>
                  </w:r>
                </w:p>
              </w:txbxContent>
            </v:textbox>
            <w10:anchorlock/>
          </v:shape>
        </w:pict>
      </w:r>
      <w:r>
        <w:rPr>
          <w:rFonts w:eastAsia="黑体"/>
          <w:b/>
          <w:sz w:val="21"/>
        </w:rPr>
        <w:t xml:space="preserve">ICS </w:t>
      </w:r>
      <w:r>
        <w:rPr>
          <w:rFonts w:hint="eastAsia" w:ascii="黑体" w:hAnsi="黑体" w:eastAsia="黑体"/>
          <w:sz w:val="21"/>
        </w:rPr>
        <w:t>13.200</w:t>
      </w:r>
    </w:p>
    <w:p>
      <w:pPr>
        <w:pStyle w:val="45"/>
        <w:contextualSpacing/>
        <w:rPr>
          <w:b/>
        </w:rPr>
      </w:pPr>
      <w:r>
        <w:rPr>
          <w:rFonts w:hint="eastAsia"/>
          <w:b/>
        </w:rPr>
        <w:t>CCS  C 78</w:t>
      </w:r>
    </w:p>
    <w:p>
      <w:pPr>
        <w:pStyle w:val="45"/>
        <w:contextualSpacing/>
        <w:rPr>
          <w:rFonts w:ascii="黑体" w:eastAsia="黑体"/>
        </w:rPr>
      </w:pPr>
      <w:r>
        <w:rPr>
          <w:rFonts w:ascii="黑体" w:hAnsi="黑体" w:eastAsia="黑体"/>
          <w:b/>
          <w:sz w:val="21"/>
        </w:rPr>
        <w:pict>
          <v:line id="Line 6" o:spid="_x0000_s1035" o:spt="20" style="position:absolute;left:0pt;margin-left:0pt;margin-top:143.55pt;height:0.05pt;width:482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5XpQEAADMDAAAOAAAAZHJzL2Uyb0RvYy54bWysUsFu2zAMvQ/oPwi6L7azLRuMOD2kaC/d&#10;FqDdBzCybAuTRYFUYufvJ6lJ1m63YT4QJik9vffI9e08WnHUxAZdI6tFKYV2Clvj+kb+eL5//0UK&#10;DuBasOh0I0+a5e3m5t168rVe4oC21SQiiON68o0cQvB1UbAa9Ai8QK9dbHZII4SYUl+0BFNEH22x&#10;LMtVMSG1nlBp5li9e2nKTcbvOq3C965jHYRtZOQWcqQc9ykWmzXUPYEfjDrTgH9gMYJx8dEr1B0E&#10;EAcyf0GNRhEydmGhcCyw64zSWUNUU5V/qHkawOusJZrD/moT/z9Y9e24dTtK1NXsnvwjqp8sHG4H&#10;cL3OBJ5PPg6uSlYVk+f6eiUl7Hck9tNXbOMZOATMLswdjQky6hNzNvt0NVvPQahYXFXL6mMZZ6Ji&#10;b/XhU8aH+nLVE4cHjaNIP420xiUnoIbjI4dEBerLkVR2eG+szdO0TkyR7/JzBE8tRmva1M0J9fut&#10;JXGEtBD5Oz/85hjhwbUvr1h31p2kpr3ieo/taUcXP+JkMp3zFqXRv87z7d+7vvkFAAD//wMAUEsD&#10;BBQABgAIAAAAIQDbGuyq3gAAAAgBAAAPAAAAZHJzL2Rvd25yZXYueG1sTI/BTsMwEETvSPyDtUjc&#10;qNMItSHEqRCoqkBc2iJx3SZLHIjXaey24e9ZeoHjzoxm3xSL0XXqSENoPRuYThJQxJWvW24MvG2X&#10;NxmoEJFr7DyTgW8KsCgvLwrMa3/iNR03sVFSwiFHAzbGPtc6VJYchonvicX78IPDKOfQ6HrAk5S7&#10;TqdJMtMOW5YPFnt6tFR9bQ7OAD6t1vE9S1/m7bN9/dwu9yub7Y25vhof7kFFGuNfGH7xBR1KYdr5&#10;A9dBdQZkSDSQZvMpKLHvZrei7M5KCros9P8B5Q8AAAD//wMAUEsBAi0AFAAGAAgAAAAhALaDOJL+&#10;AAAA4QEAABMAAAAAAAAAAAAAAAAAAAAAAFtDb250ZW50X1R5cGVzXS54bWxQSwECLQAUAAYACAAA&#10;ACEAOP0h/9YAAACUAQAACwAAAAAAAAAAAAAAAAAvAQAAX3JlbHMvLnJlbHNQSwECLQAUAAYACAAA&#10;ACEAkTUeV6UBAAAzAwAADgAAAAAAAAAAAAAAAAAuAgAAZHJzL2Uyb0RvYy54bWxQSwECLQAUAAYA&#10;CAAAACEA2xrsqt4AAAAIAQAADwAAAAAAAAAAAAAAAAD/AwAAZHJzL2Rvd25yZXYueG1sUEsFBgAA&#10;AAAEAAQA8wAAAAoFAAAAAA==&#10;">
            <v:path arrowok="t"/>
            <v:fill focussize="0,0"/>
            <v:stroke weight="1pt"/>
            <v:imagedata o:title=""/>
            <o:lock v:ext="edit"/>
          </v:line>
        </w:pict>
      </w:r>
      <w:r>
        <w:rPr>
          <w:rFonts w:hint="eastAsia" w:ascii="黑体" w:hAnsi="黑体" w:eastAsia="黑体"/>
          <w:sz w:val="21"/>
        </w:rPr>
        <w:t>备案号：</w:t>
      </w:r>
    </w:p>
    <w:p>
      <w:pPr>
        <w:rPr>
          <w:rFonts w:ascii="宋体" w:hAnsi="宋体"/>
          <w:sz w:val="28"/>
          <w:szCs w:val="28"/>
        </w:rPr>
        <w:sectPr>
          <w:headerReference r:id="rId5" w:type="first"/>
          <w:footerReference r:id="rId7" w:type="first"/>
          <w:headerReference r:id="rId3" w:type="default"/>
          <w:headerReference r:id="rId4" w:type="even"/>
          <w:footerReference r:id="rId6" w:type="even"/>
          <w:pgSz w:w="11906" w:h="16838"/>
          <w:pgMar w:top="-338" w:right="1134" w:bottom="1021" w:left="1134" w:header="0" w:footer="454" w:gutter="284"/>
          <w:pgNumType w:fmt="numberInDash" w:start="6"/>
          <w:cols w:space="720" w:num="1"/>
          <w:titlePg/>
          <w:docGrid w:linePitch="312" w:charSpace="0"/>
        </w:sectPr>
      </w:pPr>
      <w:r>
        <w:rPr>
          <w:rFonts w:ascii="Times New Roman" w:hAnsi="Times New Roman" w:eastAsia="黑体"/>
          <w:b/>
        </w:rPr>
        <w:pict>
          <v:line id="Line 5" o:spid="_x0000_s1034" o:spt="20" style="position:absolute;left:0pt;margin-left:0pt;margin-top:675.1pt;height:0.05pt;width:482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5XpQEAADMDAAAOAAAAZHJzL2Uyb0RvYy54bWysUsFu2zAMvQ/oPwi6L7azLRuMOD2kaC/d&#10;FqDdBzCybAuTRYFUYufvJ6lJ1m63YT4QJik9vffI9e08WnHUxAZdI6tFKYV2Clvj+kb+eL5//0UK&#10;DuBasOh0I0+a5e3m5t168rVe4oC21SQiiON68o0cQvB1UbAa9Ai8QK9dbHZII4SYUl+0BFNEH22x&#10;LMtVMSG1nlBp5li9e2nKTcbvOq3C965jHYRtZOQWcqQc9ykWmzXUPYEfjDrTgH9gMYJx8dEr1B0E&#10;EAcyf0GNRhEydmGhcCyw64zSWUNUU5V/qHkawOusJZrD/moT/z9Y9e24dTtK1NXsnvwjqp8sHG4H&#10;cL3OBJ5PPg6uSlYVk+f6eiUl7Hck9tNXbOMZOATMLswdjQky6hNzNvt0NVvPQahYXFXL6mMZZ6Ji&#10;b/XhU8aH+nLVE4cHjaNIP420xiUnoIbjI4dEBerLkVR2eG+szdO0TkyR7/JzBE8tRmva1M0J9fut&#10;JXGEtBD5Oz/85hjhwbUvr1h31p2kpr3ieo/taUcXP+JkMp3zFqXRv87z7d+7vvkFAAD//wMAUEsD&#10;BBQABgAIAAAAIQACl4Oz3gAAAAoBAAAPAAAAZHJzL2Rvd25yZXYueG1sTI/BTsMwEETvSPyDtUjc&#10;qEMKJYQ4FQJVFYhLWySu22SJA/E6jd02/D2LOMBx34xmZ4r56Dp1oCG0ng1cThJQxJWvW24MvG4W&#10;FxmoEJFr7DyTgS8KMC9PTwrMa3/kFR3WsVESwiFHAzbGPtc6VJYchonviUV794PDKOfQ6HrAo4S7&#10;TqdJMtMOW5YPFnt6sFR9rvfOAD4uV/EtS59v2if78rFZ7JY22xlzfjbe34GKNMY/M/zUl+pQSqet&#10;33MdVGdAhkSh0+skBSX67exK0PYXTUGXhf4/ofwGAAD//wMAUEsBAi0AFAAGAAgAAAAhALaDOJL+&#10;AAAA4QEAABMAAAAAAAAAAAAAAAAAAAAAAFtDb250ZW50X1R5cGVzXS54bWxQSwECLQAUAAYACAAA&#10;ACEAOP0h/9YAAACUAQAACwAAAAAAAAAAAAAAAAAvAQAAX3JlbHMvLnJlbHNQSwECLQAUAAYACAAA&#10;ACEAkTUeV6UBAAAzAwAADgAAAAAAAAAAAAAAAAAuAgAAZHJzL2Uyb0RvYy54bWxQSwECLQAUAAYA&#10;CAAAACEAApeDs94AAAAKAQAADwAAAAAAAAAAAAAAAAD/AwAAZHJzL2Rvd25yZXYueG1sUEsFBgAA&#10;AAAEAAQA8wAAAAoFAAAAAA==&#10;">
            <v:path arrowok="t"/>
            <v:fill focussize="0,0"/>
            <v:stroke weight="1pt"/>
            <v:imagedata o:title=""/>
            <o:lock v:ext="edit"/>
          </v:line>
        </w:pict>
      </w:r>
      <w:r>
        <w:pict>
          <v:shape id="Text Box 4" o:spid="_x0000_s1033" o:spt="202" type="#_x0000_t202" style="position:absolute;left:0pt;margin-left:10.5pt;margin-top:733.1pt;height:14pt;width:481.9pt;mso-position-horizontal-relative:margin;mso-position-vertical-relative:margin;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r7AEAAMEDAAAOAAAAZHJzL2Uyb0RvYy54bWysU9tu2zAMfR+wfxD0vjjpgKYw4hRdigwD&#10;ugvQ7gNkWbaFyaJGKrG7rx8lJ+nQvQ3zg0CJ4hHP4fHmdhqcOBokC76Sq8VSCuM1NNZ3lfz+tH93&#10;IwVF5RvlwJtKPhuSt9u3bzZjKM0V9OAag4JBPJVjqGQfYyiLgnRvBkULCMZzsgUcVOQtdkWDamT0&#10;wRVXy+V1MQI2AUEbIj69n5Nym/Hb1uj4tW3JROEqyb3FvGJe67QW240qO1Sht/rUhvqHLgZlPT96&#10;gbpXUYkD2r+gBqsRCNq40DAU0LZWm8yB2ayWr9g89iqYzIXFoXCRif4frP5yfAzfUMTpA0w8wEyC&#10;wgPoHyQ87HrlO3OHCGNvVMMPr5JkxRioPJUmqamkBFKPn6HhIatDhAw0tTgkVZinYHQewPNFdDNF&#10;ofnwesXM33NKc261Xt8s81QKVZ6rA1L8aGAQKagk8lAzujo+UEzdqPJ8JT1G4Gyzt87lDXb1zqE4&#10;KjbAPn+ZwKtrzqfLHlLZjJhOMs3EbOYYp3oStqnkOkEk1jU0z8wbYfYV/wcc9IC/pBjZU5WknweF&#10;Rgr3ybN2yYDnAM9BfQ6U11xaySjFHO7ibNRDQNv1jDxPx8Md69vaTP2li1O77JOsyMnTyYh/7vOt&#10;lz9v+xsAAP//AwBQSwMEFAAGAAgAAAAhAL2s+03gAAAADAEAAA8AAABkcnMvZG93bnJldi54bWxM&#10;j8FuwjAQRO+V+g/WVuqlKg5WFEGIg1pob+0Bijib2CRR43VkOyT8fZdTOe7saGZesZ5sxy7Gh9ah&#10;hPksAWawcrrFWsLh5/N1ASxEhVp1Do2EqwmwLh8fCpVrN+LOXPaxZhSCIVcSmhj7nPNQNcaqMHO9&#10;Qfqdnbcq0ulrrr0aKdx2XCRJxq1qkRoa1ZtNY6rf/WAlZFs/jDvcvGwPH1/qu6/F8f16lPL5aXpb&#10;AYtmiv9muM2n6VDSppMbUAfWSRBzQomkp1kmgJFjuUgJ5nSTlqkAXhb8HqL8AwAA//8DAFBLAQIt&#10;ABQABgAIAAAAIQC2gziS/gAAAOEBAAATAAAAAAAAAAAAAAAAAAAAAABbQ29udGVudF9UeXBlc10u&#10;eG1sUEsBAi0AFAAGAAgAAAAhADj9If/WAAAAlAEAAAsAAAAAAAAAAAAAAAAALwEAAF9yZWxzLy5y&#10;ZWxzUEsBAi0AFAAGAAgAAAAhACg35KvsAQAAwQMAAA4AAAAAAAAAAAAAAAAALgIAAGRycy9lMm9E&#10;b2MueG1sUEsBAi0AFAAGAAgAAAAhAL2s+03gAAAADAEAAA8AAAAAAAAAAAAAAAAARgQAAGRycy9k&#10;b3ducmV2LnhtbFBLBQYAAAAABAAEAPMAAABTBQAAAAA=&#10;">
            <v:path/>
            <v:fill focussize="0,0"/>
            <v:stroke on="f" joinstyle="miter"/>
            <v:imagedata o:title=""/>
            <o:lock v:ext="edit"/>
            <v:textbox inset="0mm,0mm,0mm,0mm">
              <w:txbxContent>
                <w:p>
                  <w:pPr>
                    <w:rPr>
                      <w:rFonts w:ascii="黑体" w:eastAsia="黑体"/>
                      <w:b/>
                      <w:sz w:val="28"/>
                      <w:szCs w:val="18"/>
                    </w:rPr>
                  </w:pPr>
                </w:p>
              </w:txbxContent>
            </v:textbox>
            <w10:anchorlock/>
          </v:shape>
        </w:pict>
      </w:r>
    </w:p>
    <w:bookmarkEnd w:id="1"/>
    <w:p>
      <w:pPr>
        <w:widowControl w:val="0"/>
        <w:adjustRightInd w:val="0"/>
        <w:spacing w:after="468" w:afterLines="150"/>
        <w:jc w:val="center"/>
        <w:rPr>
          <w:rFonts w:ascii="黑体" w:hAnsi="Times New Roman" w:eastAsia="黑体" w:cs="Times New Roman"/>
          <w:kern w:val="2"/>
          <w:sz w:val="32"/>
          <w:szCs w:val="21"/>
          <w:lang w:val="en-US" w:eastAsia="zh-CN" w:bidi="ar-SA"/>
        </w:rPr>
      </w:pPr>
      <w:r>
        <w:rPr>
          <w:rFonts w:ascii="黑体" w:hAnsi="Times New Roman" w:eastAsia="黑体" w:cs="Times New Roman"/>
          <w:spacing w:val="320"/>
          <w:kern w:val="2"/>
          <w:sz w:val="32"/>
          <w:szCs w:val="21"/>
          <w:lang w:val="en-US" w:eastAsia="zh-CN" w:bidi="ar-SA"/>
        </w:rPr>
        <w:t>目</w:t>
      </w:r>
      <w:r>
        <w:rPr>
          <w:rFonts w:ascii="黑体" w:hAnsi="Times New Roman" w:eastAsia="黑体" w:cs="Times New Roman"/>
          <w:kern w:val="2"/>
          <w:sz w:val="32"/>
          <w:szCs w:val="21"/>
          <w:lang w:val="en-US" w:eastAsia="zh-CN" w:bidi="ar-SA"/>
        </w:rPr>
        <w:t>次</w:t>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TOC \o "1-3" \h \z \u </w:instrText>
      </w:r>
      <w:r>
        <w:rPr>
          <w:rFonts w:ascii="宋体" w:hAnsi="Times New Roman" w:eastAsia="宋体" w:cs="Times New Roman"/>
          <w:kern w:val="2"/>
          <w:sz w:val="21"/>
          <w:szCs w:val="21"/>
          <w:lang w:val="en-US" w:eastAsia="zh-CN" w:bidi="ar-SA"/>
        </w:rPr>
        <w:fldChar w:fldCharType="separate"/>
      </w: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"_Toc118880701" </w:instrText>
      </w:r>
      <w:r>
        <w:rPr>
          <w:rFonts w:ascii="宋体" w:hAnsi="Times New Roman" w:eastAsia="宋体" w:cs="Times New Roman"/>
          <w:kern w:val="2"/>
          <w:sz w:val="21"/>
          <w:szCs w:val="21"/>
          <w:lang w:val="en-US" w:eastAsia="zh-CN" w:bidi="ar-SA"/>
        </w:rPr>
        <w:fldChar w:fldCharType="separate"/>
      </w:r>
      <w:r>
        <w:rPr>
          <w:rStyle w:val="17"/>
          <w:rFonts w:ascii="Times New Roman" w:hAnsi="Times New Roman" w:eastAsia="宋体" w:cs="Times New Roman"/>
          <w:kern w:val="2"/>
          <w:sz w:val="21"/>
          <w:szCs w:val="21"/>
          <w:lang w:val="en-US" w:eastAsia="zh-CN" w:bidi="ar-SA"/>
        </w:rPr>
        <w:t>前言</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_Toc118880701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II</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hint="eastAsia" w:ascii="宋体" w:hAnsi="宋体" w:eastAsia="宋体" w:cs="宋体"/>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"_Toc118880702" </w:instrText>
      </w:r>
      <w:r>
        <w:rPr>
          <w:rFonts w:ascii="宋体" w:hAnsi="Times New Roman" w:eastAsia="宋体" w:cs="Times New Roman"/>
          <w:kern w:val="2"/>
          <w:sz w:val="21"/>
          <w:szCs w:val="21"/>
          <w:lang w:val="en-US" w:eastAsia="zh-CN" w:bidi="ar-SA"/>
        </w:rPr>
        <w:fldChar w:fldCharType="separate"/>
      </w:r>
      <w:r>
        <w:rPr>
          <w:rStyle w:val="17"/>
          <w:rFonts w:ascii="Times New Roman" w:hAnsi="Times New Roman" w:eastAsia="宋体" w:cs="Times New Roman"/>
          <w:kern w:val="2"/>
          <w:sz w:val="21"/>
          <w:szCs w:val="21"/>
          <w:lang w:val="en-US" w:eastAsia="zh-CN" w:bidi="ar-SA"/>
        </w:rPr>
        <w:t xml:space="preserve">1 </w:t>
      </w:r>
      <w:r>
        <w:rPr>
          <w:rStyle w:val="17"/>
          <w:rFonts w:hint="eastAsia" w:ascii="Times New Roman" w:hAnsi="Times New Roman" w:eastAsia="宋体" w:cs="Times New Roman"/>
          <w:kern w:val="2"/>
          <w:sz w:val="21"/>
          <w:szCs w:val="21"/>
          <w:lang w:val="en-US" w:eastAsia="zh-CN" w:bidi="ar-SA"/>
        </w:rPr>
        <w:t>范围</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_Toc118880702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"_Toc118880703" </w:instrText>
      </w:r>
      <w:r>
        <w:rPr>
          <w:rFonts w:ascii="宋体" w:hAnsi="Times New Roman" w:eastAsia="宋体" w:cs="Times New Roman"/>
          <w:kern w:val="2"/>
          <w:sz w:val="21"/>
          <w:szCs w:val="21"/>
          <w:lang w:val="en-US" w:eastAsia="zh-CN" w:bidi="ar-SA"/>
        </w:rPr>
        <w:fldChar w:fldCharType="separate"/>
      </w:r>
      <w:r>
        <w:rPr>
          <w:rStyle w:val="17"/>
          <w:rFonts w:ascii="Times New Roman" w:hAnsi="Times New Roman" w:eastAsia="宋体" w:cs="Times New Roman"/>
          <w:kern w:val="2"/>
          <w:sz w:val="21"/>
          <w:szCs w:val="21"/>
          <w:lang w:val="en-US" w:eastAsia="zh-CN" w:bidi="ar-SA"/>
        </w:rPr>
        <w:t xml:space="preserve">2 </w:t>
      </w:r>
      <w:r>
        <w:rPr>
          <w:rStyle w:val="17"/>
          <w:rFonts w:hint="eastAsia" w:ascii="Times New Roman" w:hAnsi="Times New Roman" w:eastAsia="宋体" w:cs="Times New Roman"/>
          <w:kern w:val="2"/>
          <w:sz w:val="21"/>
          <w:szCs w:val="21"/>
          <w:lang w:val="en-US" w:eastAsia="zh-CN" w:bidi="ar-SA"/>
        </w:rPr>
        <w:t>规范性引用文件</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_Toc118880703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"_Toc118880704" </w:instrText>
      </w:r>
      <w:r>
        <w:rPr>
          <w:rFonts w:ascii="宋体" w:hAnsi="Times New Roman" w:eastAsia="宋体" w:cs="Times New Roman"/>
          <w:kern w:val="2"/>
          <w:sz w:val="21"/>
          <w:szCs w:val="21"/>
          <w:lang w:val="en-US" w:eastAsia="zh-CN" w:bidi="ar-SA"/>
        </w:rPr>
        <w:fldChar w:fldCharType="separate"/>
      </w:r>
      <w:r>
        <w:rPr>
          <w:rStyle w:val="17"/>
          <w:rFonts w:ascii="Times New Roman" w:hAnsi="Times New Roman" w:eastAsia="宋体" w:cs="Times New Roman"/>
          <w:kern w:val="2"/>
          <w:sz w:val="21"/>
          <w:szCs w:val="21"/>
          <w:lang w:val="en-US" w:eastAsia="zh-CN" w:bidi="ar-SA"/>
        </w:rPr>
        <w:t xml:space="preserve">3 </w:t>
      </w:r>
      <w:r>
        <w:rPr>
          <w:rStyle w:val="17"/>
          <w:rFonts w:hint="eastAsia" w:ascii="Times New Roman" w:hAnsi="Times New Roman" w:eastAsia="宋体" w:cs="Times New Roman"/>
          <w:kern w:val="2"/>
          <w:sz w:val="21"/>
          <w:szCs w:val="21"/>
          <w:lang w:val="en-US" w:eastAsia="zh-CN" w:bidi="ar-SA"/>
        </w:rPr>
        <w:t>术语和定义</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_Toc118880704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"_Toc118880705" </w:instrText>
      </w:r>
      <w:r>
        <w:rPr>
          <w:rFonts w:ascii="宋体" w:hAnsi="Times New Roman" w:eastAsia="宋体" w:cs="Times New Roman"/>
          <w:kern w:val="2"/>
          <w:sz w:val="21"/>
          <w:szCs w:val="21"/>
          <w:lang w:val="en-US" w:eastAsia="zh-CN" w:bidi="ar-SA"/>
        </w:rPr>
        <w:fldChar w:fldCharType="separate"/>
      </w:r>
      <w:r>
        <w:rPr>
          <w:rStyle w:val="17"/>
          <w:rFonts w:ascii="Times New Roman" w:hAnsi="Times New Roman" w:eastAsia="宋体" w:cs="Times New Roman"/>
          <w:kern w:val="2"/>
          <w:sz w:val="21"/>
          <w:szCs w:val="21"/>
          <w:lang w:val="en-US" w:eastAsia="zh-CN" w:bidi="ar-SA"/>
        </w:rPr>
        <w:t xml:space="preserve">4 </w:t>
      </w:r>
      <w:r>
        <w:rPr>
          <w:rStyle w:val="17"/>
          <w:rFonts w:hint="eastAsia" w:ascii="Times New Roman" w:hAnsi="Times New Roman" w:eastAsia="宋体" w:cs="Times New Roman"/>
          <w:kern w:val="2"/>
          <w:sz w:val="21"/>
          <w:szCs w:val="21"/>
          <w:lang w:val="en-US" w:eastAsia="zh-CN" w:bidi="ar-SA"/>
        </w:rPr>
        <w:t>基本要求</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_Toc118880705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"_Toc118880715" </w:instrText>
      </w:r>
      <w:r>
        <w:rPr>
          <w:rFonts w:ascii="宋体" w:hAnsi="Times New Roman" w:eastAsia="宋体" w:cs="Times New Roman"/>
          <w:kern w:val="2"/>
          <w:sz w:val="21"/>
          <w:szCs w:val="21"/>
          <w:lang w:val="en-US" w:eastAsia="zh-CN" w:bidi="ar-SA"/>
        </w:rPr>
        <w:fldChar w:fldCharType="separate"/>
      </w:r>
      <w:r>
        <w:rPr>
          <w:rStyle w:val="17"/>
          <w:rFonts w:ascii="Times New Roman" w:hAnsi="Times New Roman" w:eastAsia="宋体" w:cs="Times New Roman"/>
          <w:kern w:val="2"/>
          <w:sz w:val="21"/>
          <w:szCs w:val="21"/>
          <w:lang w:val="en-US" w:eastAsia="zh-CN" w:bidi="ar-SA"/>
        </w:rPr>
        <w:t xml:space="preserve">5 </w:t>
      </w:r>
      <w:r>
        <w:rPr>
          <w:rStyle w:val="17"/>
          <w:rFonts w:hint="eastAsia" w:ascii="Times New Roman" w:hAnsi="Times New Roman" w:eastAsia="宋体" w:cs="Times New Roman"/>
          <w:kern w:val="2"/>
          <w:sz w:val="21"/>
          <w:szCs w:val="21"/>
          <w:lang w:val="en-US" w:eastAsia="zh-CN" w:bidi="ar-SA"/>
        </w:rPr>
        <w:t>评估程序</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_Toc118880715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2</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"_Toc118880723" </w:instrText>
      </w:r>
      <w:r>
        <w:rPr>
          <w:rFonts w:ascii="宋体" w:hAnsi="Times New Roman" w:eastAsia="宋体" w:cs="Times New Roman"/>
          <w:kern w:val="2"/>
          <w:sz w:val="21"/>
          <w:szCs w:val="21"/>
          <w:lang w:val="en-US" w:eastAsia="zh-CN" w:bidi="ar-SA"/>
        </w:rPr>
        <w:fldChar w:fldCharType="separate"/>
      </w:r>
      <w:r>
        <w:rPr>
          <w:rStyle w:val="17"/>
          <w:rFonts w:ascii="Times New Roman" w:hAnsi="Times New Roman" w:eastAsia="宋体" w:cs="Times New Roman"/>
          <w:kern w:val="2"/>
          <w:sz w:val="21"/>
          <w:szCs w:val="21"/>
          <w:lang w:val="en-US" w:eastAsia="zh-CN" w:bidi="ar-SA"/>
        </w:rPr>
        <w:t xml:space="preserve">6 </w:t>
      </w:r>
      <w:r>
        <w:rPr>
          <w:rStyle w:val="17"/>
          <w:rFonts w:hint="eastAsia" w:ascii="Times New Roman" w:hAnsi="Times New Roman" w:eastAsia="宋体" w:cs="Times New Roman"/>
          <w:kern w:val="2"/>
          <w:sz w:val="21"/>
          <w:szCs w:val="21"/>
          <w:lang w:val="en-US" w:eastAsia="zh-CN" w:bidi="ar-SA"/>
        </w:rPr>
        <w:t>评估内容</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_Toc118880723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3</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"_Toc118880739" </w:instrText>
      </w:r>
      <w:r>
        <w:rPr>
          <w:rFonts w:ascii="宋体" w:hAnsi="Times New Roman" w:eastAsia="宋体" w:cs="Times New Roman"/>
          <w:kern w:val="2"/>
          <w:sz w:val="21"/>
          <w:szCs w:val="21"/>
          <w:lang w:val="en-US" w:eastAsia="zh-CN" w:bidi="ar-SA"/>
        </w:rPr>
        <w:fldChar w:fldCharType="separate"/>
      </w:r>
      <w:r>
        <w:rPr>
          <w:rStyle w:val="17"/>
          <w:rFonts w:hint="eastAsia" w:ascii="Times New Roman" w:hAnsi="Times New Roman" w:eastAsia="宋体" w:cs="Times New Roman"/>
          <w:kern w:val="2"/>
          <w:sz w:val="21"/>
          <w:szCs w:val="21"/>
          <w:lang w:val="en-US" w:eastAsia="zh-CN" w:bidi="ar-SA"/>
        </w:rPr>
        <w:t>附录</w:t>
      </w:r>
      <w:r>
        <w:rPr>
          <w:rStyle w:val="17"/>
          <w:rFonts w:ascii="Times New Roman" w:hAnsi="Times New Roman" w:eastAsia="宋体" w:cs="Times New Roman"/>
          <w:kern w:val="2"/>
          <w:sz w:val="21"/>
          <w:szCs w:val="21"/>
          <w:lang w:val="en-US" w:eastAsia="zh-CN" w:bidi="ar-SA"/>
        </w:rPr>
        <w:t xml:space="preserve">A </w:t>
      </w:r>
      <w:r>
        <w:rPr>
          <w:rStyle w:val="17"/>
          <w:rFonts w:hint="eastAsia" w:ascii="Times New Roman" w:hAnsi="Times New Roman" w:eastAsia="宋体" w:cs="Times New Roman"/>
          <w:kern w:val="2"/>
          <w:sz w:val="21"/>
          <w:szCs w:val="21"/>
          <w:lang w:val="en-US" w:eastAsia="zh-CN" w:bidi="ar-SA"/>
        </w:rPr>
        <w:t>（规范性）</w:t>
      </w:r>
      <w:r>
        <w:rPr>
          <w:rStyle w:val="17"/>
          <w:rFonts w:ascii="Times New Roman" w:hAnsi="Times New Roman" w:eastAsia="宋体" w:cs="Times New Roman"/>
          <w:kern w:val="2"/>
          <w:sz w:val="21"/>
          <w:szCs w:val="21"/>
          <w:lang w:val="en-US" w:eastAsia="zh-CN" w:bidi="ar-SA"/>
        </w:rPr>
        <w:t xml:space="preserve"> </w:t>
      </w:r>
      <w:r>
        <w:rPr>
          <w:rFonts w:hint="eastAsia" w:ascii="宋体" w:hAnsi="Times New Roman" w:eastAsia="宋体" w:cs="Times New Roman"/>
          <w:kern w:val="2"/>
          <w:sz w:val="21"/>
          <w:szCs w:val="22"/>
          <w:lang w:val="en-US" w:eastAsia="zh-CN" w:bidi="ar-SA"/>
        </w:rPr>
        <w:t>应急救援评估表</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_Toc118880739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7</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"_Toc118880742" </w:instrText>
      </w:r>
      <w:r>
        <w:rPr>
          <w:rFonts w:ascii="宋体" w:hAnsi="Times New Roman" w:eastAsia="宋体" w:cs="Times New Roman"/>
          <w:kern w:val="2"/>
          <w:sz w:val="21"/>
          <w:szCs w:val="21"/>
          <w:lang w:val="en-US" w:eastAsia="zh-CN" w:bidi="ar-SA"/>
        </w:rPr>
        <w:fldChar w:fldCharType="separate"/>
      </w:r>
      <w:r>
        <w:rPr>
          <w:rStyle w:val="17"/>
          <w:rFonts w:hint="eastAsia" w:ascii="Times New Roman" w:hAnsi="Times New Roman" w:eastAsia="宋体" w:cs="Times New Roman"/>
          <w:kern w:val="2"/>
          <w:sz w:val="21"/>
          <w:szCs w:val="21"/>
          <w:lang w:val="en-US" w:eastAsia="zh-CN" w:bidi="ar-SA"/>
        </w:rPr>
        <w:t>附录</w:t>
      </w:r>
      <w:r>
        <w:rPr>
          <w:rStyle w:val="17"/>
          <w:rFonts w:ascii="Times New Roman" w:hAnsi="Times New Roman" w:eastAsia="宋体" w:cs="Times New Roman"/>
          <w:kern w:val="2"/>
          <w:sz w:val="21"/>
          <w:szCs w:val="21"/>
          <w:lang w:val="en-US" w:eastAsia="zh-CN" w:bidi="ar-SA"/>
        </w:rPr>
        <w:t xml:space="preserve">B </w:t>
      </w:r>
      <w:r>
        <w:rPr>
          <w:rStyle w:val="17"/>
          <w:rFonts w:hint="eastAsia" w:ascii="Times New Roman" w:hAnsi="Times New Roman" w:eastAsia="宋体" w:cs="Times New Roman"/>
          <w:kern w:val="2"/>
          <w:sz w:val="21"/>
          <w:szCs w:val="21"/>
          <w:lang w:val="en-US" w:eastAsia="zh-CN" w:bidi="ar-SA"/>
        </w:rPr>
        <w:t>（资料性）</w:t>
      </w:r>
      <w:r>
        <w:rPr>
          <w:rStyle w:val="17"/>
          <w:rFonts w:ascii="Times New Roman" w:hAnsi="Times New Roman" w:eastAsia="宋体" w:cs="Times New Roman"/>
          <w:kern w:val="2"/>
          <w:sz w:val="21"/>
          <w:szCs w:val="21"/>
          <w:lang w:val="en-US" w:eastAsia="zh-CN" w:bidi="ar-SA"/>
        </w:rPr>
        <w:t xml:space="preserve"> </w:t>
      </w:r>
      <w:r>
        <w:rPr>
          <w:rStyle w:val="17"/>
          <w:rFonts w:hint="eastAsia" w:ascii="Times New Roman" w:hAnsi="Times New Roman" w:eastAsia="宋体" w:cs="Times New Roman"/>
          <w:kern w:val="2"/>
          <w:sz w:val="21"/>
          <w:szCs w:val="21"/>
          <w:lang w:val="en-US" w:eastAsia="zh-CN" w:bidi="ar-SA"/>
        </w:rPr>
        <w:t>生产安全事故应急救援评估报告大纲</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_Toc118880742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spacing w:after="468" w:afterLines="150" w:line="360" w:lineRule="auto"/>
        <w:jc w:val="center"/>
        <w:textAlignment w:val="auto"/>
        <w:rPr>
          <w:rFonts w:ascii="黑体" w:hAnsi="Times New Roman" w:eastAsia="黑体" w:cs="Times New Roman"/>
          <w:kern w:val="2"/>
          <w:sz w:val="32"/>
          <w:szCs w:val="21"/>
          <w:lang w:val="en-US" w:eastAsia="zh-CN" w:bidi="ar-SA"/>
        </w:rPr>
      </w:pPr>
      <w:r>
        <w:rPr>
          <w:rFonts w:ascii="黑体" w:hAnsi="Times New Roman" w:eastAsia="黑体" w:cs="Times New Roman"/>
          <w:kern w:val="2"/>
          <w:sz w:val="32"/>
          <w:szCs w:val="21"/>
          <w:lang w:val="en-US" w:eastAsia="zh-CN" w:bidi="ar-SA"/>
        </w:rPr>
        <w:fldChar w:fldCharType="end"/>
      </w:r>
    </w:p>
    <w:p>
      <w:pPr>
        <w:tabs>
          <w:tab w:val="left" w:pos="1549"/>
        </w:tabs>
        <w:jc w:val="center"/>
        <w:rPr>
          <w:rFonts w:ascii="黑体" w:hAnsi="Times New Roman" w:eastAsia="黑体"/>
          <w:spacing w:val="320"/>
          <w:sz w:val="32"/>
          <w:szCs w:val="21"/>
        </w:rPr>
        <w:sectPr>
          <w:headerReference r:id="rId8" w:type="default"/>
          <w:footerReference r:id="rId9" w:type="default"/>
          <w:pgSz w:w="11906" w:h="16838"/>
          <w:pgMar w:top="1871" w:right="1134" w:bottom="1134" w:left="1134" w:header="1418" w:footer="1134" w:gutter="284"/>
          <w:pgNumType w:fmt="upperRoman" w:start="1"/>
          <w:cols w:space="720" w:num="1"/>
          <w:formProt w:val="0"/>
          <w:docGrid w:type="lines" w:linePitch="312" w:charSpace="0"/>
        </w:sectPr>
      </w:pPr>
      <w:bookmarkStart w:id="2" w:name="_Toc61420119"/>
      <w:bookmarkStart w:id="3" w:name="_Toc118880399"/>
      <w:bookmarkStart w:id="4" w:name="_Toc118880701"/>
      <w:bookmarkStart w:id="5" w:name="BookMark2"/>
    </w:p>
    <w:p>
      <w:pPr>
        <w:tabs>
          <w:tab w:val="left" w:pos="1549"/>
        </w:tabs>
        <w:jc w:val="center"/>
        <w:rPr>
          <w:rFonts w:ascii="黑体" w:hAnsi="Times New Roman" w:eastAsia="黑体" w:cs="Times New Roman"/>
          <w:spacing w:val="320"/>
          <w:sz w:val="32"/>
          <w:szCs w:val="21"/>
        </w:rPr>
      </w:pPr>
      <w:r>
        <w:rPr>
          <w:rFonts w:hint="eastAsia" w:ascii="黑体" w:hAnsi="Times New Roman" w:eastAsia="黑体" w:cs="Times New Roman"/>
          <w:spacing w:val="320"/>
          <w:sz w:val="32"/>
          <w:szCs w:val="21"/>
        </w:rPr>
        <w:t>前言</w:t>
      </w:r>
      <w:bookmarkEnd w:id="2"/>
      <w:bookmarkEnd w:id="3"/>
      <w:bookmarkEnd w:id="4"/>
    </w:p>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本文件按照GB/T 1.1—2020《标准化工作导则  第1部分：标准化文件的结构和起草规则》的规定起草。</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请注意本文件的某些内容可能涉及专利。本文件的发布机构不承担识别专利的责任。</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本文件由中华人民共和国应急管理部提出。</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本文件由全国安全生产标准化技术委员会（SAC/TC 288）归口。</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本文件起草单位：国家安全生产应急救援中心、中国安全生产科学研究院、中铁二局集团有限公司、清华大学合肥公共安全研究院、中国石化集团中原石油勘探局有限公司、中国矿业大学。</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本文件主要起草人：</w:t>
      </w:r>
      <w:bookmarkEnd w:id="5"/>
      <w:bookmarkStart w:id="6" w:name="BookMark3"/>
    </w:p>
    <w:p>
      <w:pPr>
        <w:ind w:firstLine="0" w:firstLineChars="0"/>
        <w:sectPr>
          <w:footerReference r:id="rId10" w:type="default"/>
          <w:pgSz w:w="11906" w:h="16838"/>
          <w:pgMar w:top="1871" w:right="1134" w:bottom="1134" w:left="1134" w:header="1418" w:footer="1134" w:gutter="284"/>
          <w:pgNumType w:fmt="upperRoman"/>
          <w:cols w:space="720" w:num="1"/>
          <w:formProt w:val="0"/>
          <w:docGrid w:type="lines" w:linePitch="312" w:charSpace="0"/>
        </w:sectPr>
      </w:pPr>
    </w:p>
    <w:bookmarkEnd w:id="6"/>
    <w:p>
      <w:pPr>
        <w:spacing w:line="20" w:lineRule="exact"/>
        <w:jc w:val="center"/>
        <w:rPr>
          <w:rFonts w:ascii="黑体" w:hAnsi="黑体" w:eastAsia="黑体" w:cs="Times New Roman"/>
          <w:sz w:val="32"/>
          <w:szCs w:val="32"/>
        </w:rPr>
      </w:pPr>
      <w:bookmarkStart w:id="7" w:name="BookMark4"/>
    </w:p>
    <w:p>
      <w:pPr>
        <w:spacing w:line="20" w:lineRule="exact"/>
        <w:jc w:val="center"/>
        <w:rPr>
          <w:rFonts w:ascii="黑体" w:hAnsi="黑体" w:eastAsia="黑体" w:cs="Times New Roman"/>
          <w:sz w:val="32"/>
          <w:szCs w:val="32"/>
        </w:rPr>
      </w:pPr>
    </w:p>
    <w:p>
      <w:pPr>
        <w:spacing w:before="567" w:beforeLines="182" w:after="686" w:afterLines="220" w:line="400" w:lineRule="exact"/>
        <w:jc w:val="center"/>
        <w:rPr>
          <w:rFonts w:ascii="黑体" w:hAnsi="黑体" w:eastAsia="黑体" w:cs="Times New Roman"/>
          <w:kern w:val="2"/>
          <w:sz w:val="32"/>
          <w:szCs w:val="32"/>
          <w:lang w:val="en-US" w:eastAsia="zh-CN" w:bidi="ar-SA"/>
        </w:rPr>
      </w:pPr>
      <w:bookmarkStart w:id="8" w:name="NEW_STAND_NAME"/>
      <w:r>
        <w:rPr>
          <w:rFonts w:hint="eastAsia" w:ascii="黑体" w:hAnsi="黑体" w:eastAsia="黑体" w:cs="Times New Roman"/>
          <w:kern w:val="2"/>
          <w:sz w:val="32"/>
          <w:szCs w:val="32"/>
          <w:lang w:val="en-US" w:eastAsia="zh-CN" w:bidi="ar-SA"/>
        </w:rPr>
        <w:t>生产安全事故应急救援评估</w:t>
      </w:r>
      <w:bookmarkEnd w:id="8"/>
      <w:r>
        <w:rPr>
          <w:rFonts w:hint="eastAsia" w:ascii="黑体" w:hAnsi="黑体" w:eastAsia="黑体" w:cs="Times New Roman"/>
          <w:kern w:val="2"/>
          <w:sz w:val="32"/>
          <w:szCs w:val="32"/>
          <w:lang w:val="en-US" w:eastAsia="zh-CN" w:bidi="ar-SA"/>
        </w:rPr>
        <w:t>规范</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9" w:name="_Toc26648465"/>
      <w:bookmarkStart w:id="10" w:name="_Toc17233333"/>
      <w:bookmarkStart w:id="11" w:name="_Toc118880702"/>
      <w:bookmarkStart w:id="12" w:name="_Toc24884218"/>
      <w:bookmarkStart w:id="13" w:name="_Toc26718930"/>
      <w:bookmarkStart w:id="14" w:name="_Toc26986771"/>
      <w:bookmarkStart w:id="15" w:name="_Toc26986530"/>
      <w:bookmarkStart w:id="16" w:name="_Toc118880400"/>
      <w:bookmarkStart w:id="17" w:name="_Toc17233325"/>
      <w:bookmarkStart w:id="18" w:name="_Toc24884211"/>
      <w:r>
        <w:rPr>
          <w:rFonts w:hint="eastAsia" w:ascii="黑体" w:hAnsi="Times New Roman" w:eastAsia="黑体" w:cs="Times New Roman"/>
          <w:sz w:val="21"/>
          <w:lang w:val="en-US" w:eastAsia="zh-CN" w:bidi="ar-SA"/>
        </w:rPr>
        <w:t>范围</w:t>
      </w:r>
      <w:bookmarkEnd w:id="9"/>
      <w:bookmarkEnd w:id="10"/>
      <w:bookmarkEnd w:id="11"/>
      <w:bookmarkEnd w:id="12"/>
      <w:bookmarkEnd w:id="13"/>
      <w:bookmarkEnd w:id="14"/>
      <w:bookmarkEnd w:id="15"/>
      <w:bookmarkEnd w:id="16"/>
      <w:bookmarkEnd w:id="17"/>
      <w:bookmarkEnd w:id="18"/>
    </w:p>
    <w:p>
      <w:pPr>
        <w:autoSpaceDE w:val="0"/>
        <w:autoSpaceDN w:val="0"/>
        <w:ind w:firstLine="420" w:firstLineChars="200"/>
        <w:jc w:val="both"/>
        <w:rPr>
          <w:rFonts w:ascii="宋体" w:hAnsi="Times New Roman" w:eastAsia="宋体" w:cs="Times New Roman"/>
          <w:sz w:val="21"/>
          <w:lang w:val="en-US" w:eastAsia="zh-CN" w:bidi="ar-SA"/>
        </w:rPr>
      </w:pPr>
      <w:bookmarkStart w:id="19" w:name="_Toc24884212"/>
      <w:bookmarkStart w:id="20" w:name="_Toc26648466"/>
      <w:bookmarkStart w:id="21" w:name="_Toc24884219"/>
      <w:bookmarkStart w:id="22" w:name="_Toc17233334"/>
      <w:bookmarkStart w:id="23" w:name="_Toc17233326"/>
      <w:r>
        <w:rPr>
          <w:rFonts w:hint="eastAsia" w:ascii="宋体" w:hAnsi="Times New Roman" w:eastAsia="宋体" w:cs="Times New Roman"/>
          <w:sz w:val="21"/>
          <w:lang w:val="en-US" w:eastAsia="zh-CN" w:bidi="ar-SA"/>
        </w:rPr>
        <w:t>本文件</w:t>
      </w:r>
      <w:r>
        <w:rPr>
          <w:rFonts w:ascii="宋体" w:hAnsi="Times New Roman" w:eastAsia="宋体" w:cs="Times New Roman"/>
          <w:sz w:val="21"/>
          <w:lang w:val="en-US" w:eastAsia="zh-CN" w:bidi="ar-SA"/>
        </w:rPr>
        <w:t>规定</w:t>
      </w:r>
      <w:r>
        <w:rPr>
          <w:rFonts w:hint="eastAsia" w:ascii="宋体" w:hAnsi="Times New Roman" w:eastAsia="宋体" w:cs="Times New Roman"/>
          <w:sz w:val="21"/>
          <w:lang w:val="en-US" w:eastAsia="zh-CN" w:bidi="ar-SA"/>
        </w:rPr>
        <w:t>了生产安全事故应急救援评估的基本要求、评估程序和评估内容。</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w:t>
      </w:r>
      <w:r>
        <w:rPr>
          <w:rFonts w:ascii="宋体" w:hAnsi="Times New Roman" w:eastAsia="宋体" w:cs="Times New Roman"/>
          <w:sz w:val="21"/>
          <w:lang w:val="en-US" w:eastAsia="zh-CN" w:bidi="ar-SA"/>
        </w:rPr>
        <w:t>适用</w:t>
      </w:r>
      <w:r>
        <w:rPr>
          <w:rFonts w:hint="eastAsia" w:ascii="宋体" w:hAnsi="Times New Roman" w:eastAsia="宋体" w:cs="Times New Roman"/>
          <w:sz w:val="21"/>
          <w:lang w:val="en-US" w:eastAsia="zh-CN" w:bidi="ar-SA"/>
        </w:rPr>
        <w:t>于依法成立的事故调查组所开展的较大及以上生产安全事故应急救援评估工作。</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24" w:name="_Toc26718931"/>
      <w:bookmarkStart w:id="25" w:name="_Toc118880703"/>
      <w:bookmarkStart w:id="26" w:name="_Toc26986531"/>
      <w:bookmarkStart w:id="27" w:name="_Toc118880401"/>
      <w:bookmarkStart w:id="28" w:name="_Toc26986772"/>
      <w:r>
        <w:rPr>
          <w:rFonts w:hint="eastAsia" w:ascii="黑体" w:hAnsi="Times New Roman" w:eastAsia="黑体" w:cs="Times New Roman"/>
          <w:sz w:val="21"/>
          <w:lang w:val="en-US" w:eastAsia="zh-CN" w:bidi="ar-SA"/>
        </w:rPr>
        <w:t>规范性引用文件</w:t>
      </w:r>
      <w:bookmarkEnd w:id="19"/>
      <w:bookmarkEnd w:id="20"/>
      <w:bookmarkEnd w:id="21"/>
      <w:bookmarkEnd w:id="22"/>
      <w:bookmarkEnd w:id="23"/>
      <w:bookmarkEnd w:id="24"/>
      <w:bookmarkEnd w:id="25"/>
      <w:bookmarkEnd w:id="26"/>
      <w:bookmarkEnd w:id="27"/>
      <w:bookmarkEnd w:id="28"/>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pPr>
        <w:autoSpaceDE w:val="0"/>
        <w:autoSpaceDN w:val="0"/>
        <w:ind w:firstLine="420" w:firstLineChars="200"/>
        <w:jc w:val="both"/>
        <w:rPr>
          <w:rFonts w:ascii="Times New Roman" w:hAnsi="Times New Roman" w:eastAsia="宋体" w:cs="Times New Roman"/>
          <w:sz w:val="21"/>
          <w:lang w:val="en-US" w:eastAsia="zh-CN" w:bidi="ar-SA"/>
        </w:rPr>
      </w:pPr>
      <w:r>
        <w:rPr>
          <w:rFonts w:ascii="Times New Roman" w:hAnsi="Times New Roman" w:eastAsia="宋体" w:cs="Times New Roman"/>
          <w:sz w:val="21"/>
          <w:lang w:val="en-US" w:eastAsia="zh-CN" w:bidi="ar-SA"/>
        </w:rPr>
        <w:t>GB/T 29639   生产经营单位生产安全事故应急预案编制导则</w:t>
      </w:r>
    </w:p>
    <w:p>
      <w:pPr>
        <w:autoSpaceDE w:val="0"/>
        <w:autoSpaceDN w:val="0"/>
        <w:ind w:firstLine="420" w:firstLineChars="200"/>
        <w:jc w:val="both"/>
        <w:rPr>
          <w:rFonts w:ascii="宋体" w:hAnsi="Times New Roman" w:eastAsia="宋体" w:cs="Times New Roman"/>
          <w:sz w:val="21"/>
          <w:lang w:val="en-US" w:eastAsia="zh-CN" w:bidi="ar-SA"/>
        </w:rPr>
      </w:pPr>
      <w:r>
        <w:rPr>
          <w:rFonts w:ascii="Times New Roman" w:hAnsi="Times New Roman" w:eastAsia="宋体" w:cs="Times New Roman"/>
          <w:sz w:val="21"/>
          <w:lang w:val="en-US" w:eastAsia="zh-CN" w:bidi="ar-SA"/>
        </w:rPr>
        <w:t>AQ/T 9007</w:t>
      </w:r>
      <w:r>
        <w:rPr>
          <w:rFonts w:hint="eastAsia" w:ascii="宋体" w:hAnsi="Times New Roman" w:eastAsia="宋体" w:cs="Times New Roman"/>
          <w:sz w:val="21"/>
          <w:lang w:val="en-US" w:eastAsia="zh-CN" w:bidi="ar-SA"/>
        </w:rPr>
        <w:t xml:space="preserve">    生产安全事故应急演练基本规范</w:t>
      </w:r>
    </w:p>
    <w:p>
      <w:pPr>
        <w:autoSpaceDE w:val="0"/>
        <w:autoSpaceDN w:val="0"/>
        <w:ind w:firstLine="420" w:firstLineChars="200"/>
        <w:jc w:val="both"/>
        <w:rPr>
          <w:rFonts w:ascii="宋体" w:hAnsi="Times New Roman" w:eastAsia="宋体" w:cs="Times New Roman"/>
          <w:sz w:val="21"/>
          <w:lang w:val="en-US" w:eastAsia="zh-CN" w:bidi="ar-SA"/>
        </w:rPr>
      </w:pPr>
      <w:r>
        <w:rPr>
          <w:rFonts w:ascii="Times New Roman" w:hAnsi="Times New Roman" w:eastAsia="宋体" w:cs="Times New Roman"/>
          <w:sz w:val="21"/>
          <w:lang w:val="en-US" w:eastAsia="zh-CN" w:bidi="ar-SA"/>
        </w:rPr>
        <w:t>AQ/T 900</w:t>
      </w:r>
      <w:r>
        <w:rPr>
          <w:rFonts w:hint="eastAsia" w:ascii="Times New Roman" w:hAnsi="Times New Roman" w:eastAsia="宋体" w:cs="Times New Roman"/>
          <w:sz w:val="21"/>
          <w:lang w:val="en-US" w:eastAsia="zh-CN" w:bidi="ar-SA"/>
        </w:rPr>
        <w:t>9</w:t>
      </w:r>
      <w:r>
        <w:rPr>
          <w:rFonts w:hint="eastAsia" w:ascii="宋体" w:hAnsi="Times New Roman" w:eastAsia="宋体" w:cs="Times New Roman"/>
          <w:sz w:val="21"/>
          <w:lang w:val="en-US" w:eastAsia="zh-CN" w:bidi="ar-SA"/>
        </w:rPr>
        <w:t xml:space="preserve">    生产安全事故应急演练评估规范</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29" w:name="_Toc118880402"/>
      <w:bookmarkStart w:id="30" w:name="_Toc118880704"/>
      <w:r>
        <w:rPr>
          <w:rFonts w:hint="eastAsia" w:ascii="黑体" w:hAnsi="Times New Roman" w:eastAsia="黑体" w:cs="Times New Roman"/>
          <w:sz w:val="21"/>
          <w:lang w:val="en-US" w:eastAsia="zh-CN" w:bidi="ar-SA"/>
        </w:rPr>
        <w:t>术语和定义</w:t>
      </w:r>
      <w:bookmarkEnd w:id="29"/>
      <w:bookmarkEnd w:id="30"/>
    </w:p>
    <w:p>
      <w:pPr>
        <w:autoSpaceDE w:val="0"/>
        <w:autoSpaceDN w:val="0"/>
        <w:ind w:firstLine="420" w:firstLineChars="200"/>
        <w:jc w:val="both"/>
        <w:rPr>
          <w:rFonts w:ascii="宋体" w:hAnsi="Times New Roman" w:eastAsia="宋体" w:cs="Times New Roman"/>
          <w:sz w:val="21"/>
          <w:lang w:val="en-US" w:eastAsia="zh-CN" w:bidi="ar-SA"/>
        </w:rPr>
      </w:pPr>
      <w:bookmarkStart w:id="31" w:name="_Toc26986532"/>
      <w:bookmarkEnd w:id="31"/>
      <w:r>
        <w:rPr>
          <w:rFonts w:ascii="宋体" w:hAnsi="Times New Roman" w:eastAsia="宋体" w:cs="Times New Roman"/>
          <w:sz w:val="21"/>
          <w:lang w:val="en-US" w:eastAsia="zh-CN" w:bidi="ar-SA"/>
        </w:rPr>
        <w:t>下列术语和定义适用于本文件。</w:t>
      </w:r>
    </w:p>
    <w:p>
      <w:pPr>
        <w:numPr>
          <w:ilvl w:val="2"/>
          <w:numId w:val="7"/>
        </w:numPr>
        <w:spacing w:before="156" w:beforeLines="50" w:after="156" w:afterLines="50"/>
        <w:jc w:val="both"/>
        <w:outlineLvl w:val="9"/>
        <w:rPr>
          <w:rFonts w:ascii="黑体" w:hAnsi="Times New Roman" w:eastAsia="黑体" w:cs="Times New Roman"/>
          <w:sz w:val="21"/>
          <w:lang w:val="en-US" w:eastAsia="zh-CN" w:bidi="ar-SA"/>
        </w:rPr>
      </w:pPr>
      <w:bookmarkStart w:id="32" w:name="_Toc74216818"/>
      <w:bookmarkEnd w:id="32"/>
      <w:bookmarkStart w:id="33" w:name="_Toc81406839"/>
      <w:bookmarkEnd w:id="33"/>
      <w:bookmarkStart w:id="34" w:name="_Toc118880403"/>
      <w:bookmarkEnd w:id="34"/>
      <w:bookmarkStart w:id="35" w:name="_Toc74217067"/>
      <w:bookmarkEnd w:id="35"/>
      <w:bookmarkStart w:id="36" w:name="_Toc61420125"/>
      <w:bookmarkEnd w:id="36"/>
      <w:bookmarkStart w:id="37" w:name="_Toc69116519"/>
      <w:bookmarkEnd w:id="37"/>
      <w:bookmarkStart w:id="38" w:name="_Toc74216854"/>
      <w:bookmarkEnd w:id="38"/>
      <w:bookmarkStart w:id="39" w:name="_Toc74217065"/>
      <w:bookmarkEnd w:id="39"/>
      <w:bookmarkStart w:id="40" w:name="_Toc118880405"/>
      <w:bookmarkEnd w:id="40"/>
      <w:bookmarkStart w:id="41" w:name="_Toc81406805"/>
      <w:bookmarkEnd w:id="41"/>
      <w:bookmarkStart w:id="42" w:name="_Toc80692161"/>
      <w:bookmarkEnd w:id="42"/>
      <w:bookmarkStart w:id="43" w:name="_Toc80869746"/>
      <w:bookmarkEnd w:id="43"/>
      <w:bookmarkStart w:id="44" w:name="_Toc80692159"/>
      <w:bookmarkEnd w:id="44"/>
      <w:bookmarkStart w:id="45" w:name="_Toc61420123"/>
      <w:bookmarkEnd w:id="45"/>
      <w:bookmarkStart w:id="46" w:name="_Toc81406803"/>
      <w:bookmarkEnd w:id="46"/>
      <w:bookmarkStart w:id="47" w:name="_Toc80869748"/>
      <w:bookmarkEnd w:id="47"/>
      <w:bookmarkStart w:id="48" w:name="_Toc74216856"/>
      <w:bookmarkEnd w:id="48"/>
      <w:bookmarkStart w:id="49" w:name="_Toc81406837"/>
      <w:bookmarkEnd w:id="49"/>
      <w:bookmarkStart w:id="50" w:name="_Toc69116521"/>
      <w:bookmarkEnd w:id="50"/>
      <w:bookmarkStart w:id="51" w:name="_Toc74216816"/>
      <w:bookmarkEnd w:id="51"/>
    </w:p>
    <w:p>
      <w:pPr>
        <w:numPr>
          <w:ilvl w:val="0"/>
          <w:numId w:val="0"/>
        </w:numPr>
        <w:spacing w:before="156" w:beforeLines="50" w:after="156" w:afterLines="50"/>
        <w:ind w:firstLine="424" w:firstLineChars="202"/>
        <w:jc w:val="both"/>
        <w:outlineLvl w:val="9"/>
        <w:rPr>
          <w:rFonts w:ascii="黑体" w:hAnsi="Times New Roman" w:eastAsia="黑体" w:cs="Times New Roman"/>
          <w:sz w:val="21"/>
          <w:lang w:val="en-US" w:eastAsia="zh-CN" w:bidi="ar-SA"/>
        </w:rPr>
      </w:pPr>
      <w:bookmarkStart w:id="52" w:name="_Toc81406808"/>
      <w:bookmarkStart w:id="53" w:name="_Toc81406842"/>
      <w:bookmarkStart w:id="54" w:name="_Toc118880408"/>
      <w:bookmarkStart w:id="55" w:name="_Toc74217070"/>
      <w:bookmarkStart w:id="56" w:name="_Toc74216821"/>
      <w:bookmarkStart w:id="57" w:name="_Toc80692164"/>
      <w:bookmarkStart w:id="58" w:name="_Toc80869751"/>
      <w:bookmarkStart w:id="59" w:name="_Toc74216859"/>
      <w:bookmarkStart w:id="60" w:name="_Toc61420128"/>
      <w:bookmarkStart w:id="61" w:name="_Toc69116524"/>
      <w:r>
        <w:rPr>
          <w:rFonts w:hint="eastAsia" w:ascii="黑体" w:hAnsi="Times New Roman" w:eastAsia="黑体" w:cs="Times New Roman"/>
          <w:sz w:val="21"/>
          <w:lang w:val="en-US" w:eastAsia="zh-CN" w:bidi="ar-SA"/>
        </w:rPr>
        <w:t xml:space="preserve">应急救援评估  </w:t>
      </w:r>
      <w:r>
        <w:rPr>
          <w:rFonts w:ascii="黑体" w:hAnsi="Times New Roman" w:eastAsia="黑体" w:cs="Times New Roman"/>
          <w:sz w:val="21"/>
          <w:lang w:val="en-US" w:eastAsia="zh-CN" w:bidi="ar-SA"/>
        </w:rPr>
        <w:t>emergency rescue assessment</w:t>
      </w:r>
      <w:bookmarkEnd w:id="52"/>
      <w:bookmarkEnd w:id="53"/>
      <w:bookmarkEnd w:id="54"/>
      <w:bookmarkEnd w:id="55"/>
      <w:bookmarkEnd w:id="56"/>
      <w:bookmarkEnd w:id="57"/>
      <w:bookmarkEnd w:id="58"/>
      <w:bookmarkEnd w:id="59"/>
      <w:bookmarkEnd w:id="60"/>
      <w:bookmarkEnd w:id="61"/>
    </w:p>
    <w:p>
      <w:pPr>
        <w:autoSpaceDE w:val="0"/>
        <w:autoSpaceDN w:val="0"/>
        <w:ind w:firstLine="420" w:firstLineChars="200"/>
        <w:jc w:val="both"/>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围绕</w:t>
      </w:r>
      <w:r>
        <w:rPr>
          <w:rFonts w:hint="eastAsia" w:ascii="宋体" w:hAnsi="Times New Roman" w:eastAsia="宋体" w:cs="Times New Roman"/>
          <w:sz w:val="21"/>
          <w:lang w:val="en-US" w:eastAsia="zh-CN" w:bidi="ar-SA"/>
        </w:rPr>
        <w:t>事故发生单位及事故涉及的单位（以下简称事故单位）</w:t>
      </w:r>
      <w:r>
        <w:rPr>
          <w:rFonts w:hint="eastAsia" w:ascii="宋体" w:hAnsi="宋体" w:eastAsia="宋体" w:cs="Times New Roman"/>
          <w:sz w:val="21"/>
          <w:lang w:val="en-US" w:eastAsia="zh-CN" w:bidi="ar-SA"/>
        </w:rPr>
        <w:t>、事发地人民政府及参与处置和救援的部门、单位在应急准备、事故发生前预警、应急响应、应急处置、应急保障以及其他应急救援工作，分析事故特点及救援过程、做法，总结应急救援的成功经验和问题缺陷，针对应急救援全过程做出评估结论，提出评估意见。</w:t>
      </w:r>
    </w:p>
    <w:p>
      <w:pPr>
        <w:numPr>
          <w:ilvl w:val="2"/>
          <w:numId w:val="7"/>
        </w:numPr>
        <w:spacing w:before="156" w:beforeLines="50" w:after="156" w:afterLines="50"/>
        <w:jc w:val="both"/>
        <w:outlineLvl w:val="9"/>
        <w:rPr>
          <w:rFonts w:ascii="黑体" w:hAnsi="宋体" w:eastAsia="黑体" w:cs="Times New Roman"/>
          <w:sz w:val="21"/>
          <w:lang w:val="en-US" w:eastAsia="zh-CN" w:bidi="ar-SA"/>
        </w:rPr>
      </w:pPr>
      <w:bookmarkStart w:id="62" w:name="_Toc74216860"/>
      <w:bookmarkEnd w:id="62"/>
      <w:bookmarkStart w:id="63" w:name="_Toc69116526"/>
      <w:bookmarkEnd w:id="63"/>
      <w:bookmarkStart w:id="64" w:name="_Toc81406809"/>
      <w:bookmarkEnd w:id="64"/>
      <w:bookmarkStart w:id="65" w:name="_Toc118880409"/>
      <w:bookmarkEnd w:id="65"/>
      <w:bookmarkStart w:id="66" w:name="_Toc80692165"/>
      <w:bookmarkEnd w:id="66"/>
      <w:bookmarkStart w:id="67" w:name="_Toc74217071"/>
      <w:bookmarkEnd w:id="67"/>
      <w:bookmarkStart w:id="68" w:name="_Toc80869752"/>
      <w:bookmarkEnd w:id="68"/>
      <w:bookmarkStart w:id="69" w:name="_Toc81406843"/>
      <w:bookmarkEnd w:id="69"/>
      <w:bookmarkStart w:id="70" w:name="_Toc74216822"/>
      <w:bookmarkEnd w:id="70"/>
      <w:bookmarkStart w:id="71" w:name="_Toc69116525"/>
      <w:bookmarkEnd w:id="71"/>
    </w:p>
    <w:p>
      <w:pPr>
        <w:numPr>
          <w:ilvl w:val="0"/>
          <w:numId w:val="0"/>
        </w:numPr>
        <w:spacing w:before="156" w:beforeLines="50" w:after="156" w:afterLines="50"/>
        <w:ind w:firstLine="424" w:firstLineChars="202"/>
        <w:jc w:val="both"/>
        <w:outlineLvl w:val="9"/>
        <w:rPr>
          <w:rFonts w:ascii="黑体" w:hAnsi="Times New Roman" w:eastAsia="黑体" w:cs="Times New Roman"/>
          <w:sz w:val="21"/>
          <w:lang w:val="en-US" w:eastAsia="zh-CN" w:bidi="ar-SA"/>
        </w:rPr>
      </w:pPr>
      <w:bookmarkStart w:id="72" w:name="_Toc81406844"/>
      <w:bookmarkStart w:id="73" w:name="_Toc74216861"/>
      <w:bookmarkStart w:id="74" w:name="_Toc118880410"/>
      <w:bookmarkStart w:id="75" w:name="_Toc69116527"/>
      <w:bookmarkStart w:id="76" w:name="_Toc81406810"/>
      <w:bookmarkStart w:id="77" w:name="_Toc74217072"/>
      <w:bookmarkStart w:id="78" w:name="_Toc80692166"/>
      <w:bookmarkStart w:id="79" w:name="_Toc80869753"/>
      <w:bookmarkStart w:id="80" w:name="_Toc74216823"/>
      <w:r>
        <w:rPr>
          <w:rFonts w:hint="eastAsia" w:ascii="黑体" w:hAnsi="Times New Roman" w:eastAsia="黑体" w:cs="Times New Roman"/>
          <w:sz w:val="21"/>
          <w:lang w:val="en-US" w:eastAsia="zh-CN" w:bidi="ar-SA"/>
        </w:rPr>
        <w:t xml:space="preserve">应急预案 </w:t>
      </w:r>
      <w:r>
        <w:rPr>
          <w:rFonts w:ascii="黑体" w:hAnsi="Times New Roman" w:eastAsia="黑体" w:cs="Times New Roman"/>
          <w:sz w:val="21"/>
          <w:lang w:val="en-US" w:eastAsia="zh-CN" w:bidi="ar-SA"/>
        </w:rPr>
        <w:t>emergency response</w:t>
      </w:r>
      <w:r>
        <w:rPr>
          <w:rFonts w:hint="eastAsia" w:ascii="黑体" w:hAnsi="Times New Roman" w:eastAsia="黑体" w:cs="Times New Roman"/>
          <w:sz w:val="21"/>
          <w:lang w:val="en-US" w:eastAsia="zh-CN" w:bidi="ar-SA"/>
        </w:rPr>
        <w:t xml:space="preserve"> plan</w:t>
      </w:r>
      <w:bookmarkEnd w:id="72"/>
      <w:bookmarkEnd w:id="73"/>
      <w:bookmarkEnd w:id="74"/>
      <w:bookmarkEnd w:id="75"/>
      <w:bookmarkEnd w:id="76"/>
      <w:bookmarkEnd w:id="77"/>
      <w:bookmarkEnd w:id="78"/>
      <w:bookmarkEnd w:id="79"/>
      <w:bookmarkEnd w:id="80"/>
    </w:p>
    <w:p>
      <w:pPr>
        <w:autoSpaceDE w:val="0"/>
        <w:autoSpaceDN w:val="0"/>
        <w:ind w:firstLine="420" w:firstLineChars="200"/>
        <w:jc w:val="both"/>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针对可能发生的事故，为最大程度减少事故损害而预先制定的应急准备工作方案。</w:t>
      </w:r>
    </w:p>
    <w:p>
      <w:pPr>
        <w:autoSpaceDE w:val="0"/>
        <w:autoSpaceDN w:val="0"/>
        <w:ind w:firstLine="420" w:firstLineChars="200"/>
        <w:jc w:val="both"/>
        <w:rPr>
          <w:rFonts w:ascii="黑体" w:hAnsi="Times New Roman" w:eastAsia="黑体" w:cs="Times New Roman"/>
          <w:sz w:val="21"/>
          <w:lang w:val="en-US" w:eastAsia="zh-CN" w:bidi="ar-SA"/>
        </w:rPr>
      </w:pPr>
      <w:r>
        <w:rPr>
          <w:rFonts w:hint="eastAsia" w:ascii="宋体" w:hAnsi="宋体" w:eastAsia="宋体" w:cs="Times New Roman"/>
          <w:sz w:val="21"/>
          <w:lang w:val="en-US" w:eastAsia="zh-CN" w:bidi="ar-SA"/>
        </w:rPr>
        <w:t>[来源：GB/T 29639—2020，3.1]</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81" w:name="_Toc74216862"/>
      <w:bookmarkEnd w:id="81"/>
      <w:bookmarkStart w:id="82" w:name="_Toc69116528"/>
      <w:bookmarkEnd w:id="82"/>
      <w:bookmarkStart w:id="83" w:name="_Toc80692167"/>
      <w:bookmarkEnd w:id="83"/>
      <w:bookmarkStart w:id="84" w:name="_Toc80869756"/>
      <w:bookmarkEnd w:id="84"/>
      <w:bookmarkStart w:id="85" w:name="_Toc80869754"/>
      <w:bookmarkEnd w:id="85"/>
      <w:bookmarkStart w:id="86" w:name="_Toc80869755"/>
      <w:bookmarkEnd w:id="86"/>
      <w:bookmarkStart w:id="87" w:name="_Toc74217073"/>
      <w:bookmarkEnd w:id="87"/>
      <w:bookmarkStart w:id="88" w:name="_Toc74216824"/>
      <w:bookmarkEnd w:id="88"/>
      <w:bookmarkStart w:id="89" w:name="_Toc118880411"/>
      <w:bookmarkStart w:id="90" w:name="_Toc118880705"/>
      <w:r>
        <w:rPr>
          <w:rFonts w:hint="eastAsia" w:ascii="黑体" w:hAnsi="Times New Roman" w:eastAsia="黑体" w:cs="Times New Roman"/>
          <w:sz w:val="21"/>
          <w:lang w:val="en-US" w:eastAsia="zh-CN" w:bidi="ar-SA"/>
        </w:rPr>
        <w:t>基本要求</w:t>
      </w:r>
      <w:bookmarkEnd w:id="89"/>
      <w:bookmarkEnd w:id="90"/>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91" w:name="_Toc81406812"/>
      <w:bookmarkStart w:id="92" w:name="_Toc69116531"/>
      <w:bookmarkStart w:id="93" w:name="_Toc74216865"/>
      <w:bookmarkStart w:id="94" w:name="_Toc118880412"/>
      <w:bookmarkStart w:id="95" w:name="_Toc74216827"/>
      <w:bookmarkStart w:id="96" w:name="_Toc74217076"/>
      <w:bookmarkStart w:id="97" w:name="_Toc118880706"/>
      <w:bookmarkStart w:id="98" w:name="_Toc80869758"/>
      <w:bookmarkStart w:id="99" w:name="_Toc80692170"/>
      <w:bookmarkStart w:id="100" w:name="_Toc81406846"/>
      <w:bookmarkStart w:id="101" w:name="_Toc61420130"/>
      <w:r>
        <w:rPr>
          <w:rFonts w:hint="eastAsia" w:ascii="黑体" w:hAnsi="Times New Roman" w:eastAsia="黑体" w:cs="Times New Roman"/>
          <w:sz w:val="21"/>
          <w:lang w:val="en-US" w:eastAsia="zh-CN" w:bidi="ar-SA"/>
        </w:rPr>
        <w:t>评估</w:t>
      </w:r>
      <w:bookmarkEnd w:id="91"/>
      <w:bookmarkEnd w:id="92"/>
      <w:bookmarkEnd w:id="93"/>
      <w:bookmarkEnd w:id="94"/>
      <w:bookmarkEnd w:id="95"/>
      <w:bookmarkEnd w:id="96"/>
      <w:bookmarkEnd w:id="97"/>
      <w:bookmarkEnd w:id="98"/>
      <w:bookmarkEnd w:id="99"/>
      <w:bookmarkEnd w:id="100"/>
      <w:bookmarkEnd w:id="101"/>
      <w:r>
        <w:rPr>
          <w:rFonts w:hint="eastAsia" w:ascii="黑体" w:hAnsi="Times New Roman" w:eastAsia="黑体" w:cs="Times New Roman"/>
          <w:sz w:val="21"/>
          <w:lang w:val="en-US" w:eastAsia="zh-CN" w:bidi="ar-SA"/>
        </w:rPr>
        <w:t>目的</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通过评估发现应急救援过程中存在的问题或不足，提出改进意见或建议，并总结应急救援中好的做法和主要优点，进而吸取经验教训，持续提高事故应急救援能力。</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评估对象</w:t>
      </w:r>
    </w:p>
    <w:p>
      <w:pPr>
        <w:tabs>
          <w:tab w:val="center" w:pos="4677"/>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事故单位、事发地人民政府及参与处置和救援的部门、单位。</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02" w:name="_Toc80869759"/>
      <w:bookmarkEnd w:id="102"/>
      <w:bookmarkStart w:id="103" w:name="_Toc69116532"/>
      <w:bookmarkEnd w:id="103"/>
      <w:bookmarkStart w:id="104" w:name="_Toc69116533"/>
      <w:bookmarkStart w:id="105" w:name="_Toc81406847"/>
      <w:bookmarkStart w:id="106" w:name="_Toc61420131"/>
      <w:bookmarkStart w:id="107" w:name="_Toc118880413"/>
      <w:bookmarkStart w:id="108" w:name="_Toc118880707"/>
      <w:bookmarkStart w:id="109" w:name="_Toc74217077"/>
      <w:bookmarkStart w:id="110" w:name="_Toc81406813"/>
      <w:bookmarkStart w:id="111" w:name="_Toc74216866"/>
      <w:bookmarkStart w:id="112" w:name="_Toc74216828"/>
      <w:bookmarkStart w:id="113" w:name="_Toc80869760"/>
      <w:bookmarkStart w:id="114" w:name="_Toc80692171"/>
      <w:r>
        <w:rPr>
          <w:rFonts w:hint="eastAsia" w:ascii="黑体" w:hAnsi="Times New Roman" w:eastAsia="黑体" w:cs="Times New Roman"/>
          <w:sz w:val="21"/>
          <w:lang w:val="en-US" w:eastAsia="zh-CN" w:bidi="ar-SA"/>
        </w:rPr>
        <w:t>评估依据</w:t>
      </w:r>
      <w:bookmarkEnd w:id="104"/>
      <w:bookmarkEnd w:id="105"/>
      <w:bookmarkEnd w:id="106"/>
      <w:bookmarkEnd w:id="107"/>
      <w:bookmarkEnd w:id="108"/>
      <w:bookmarkEnd w:id="109"/>
      <w:bookmarkEnd w:id="110"/>
      <w:bookmarkEnd w:id="111"/>
      <w:bookmarkEnd w:id="112"/>
      <w:bookmarkEnd w:id="113"/>
      <w:bookmarkEnd w:id="114"/>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主要依据包括以下内容：</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有关法律、法规、规章、标准和</w:t>
      </w:r>
      <w:r>
        <w:rPr>
          <w:rFonts w:ascii="宋体" w:hAnsi="Times New Roman" w:eastAsia="宋体" w:cs="Times New Roman"/>
          <w:sz w:val="21"/>
          <w:lang w:val="en-US" w:eastAsia="zh-CN" w:bidi="ar-SA"/>
        </w:rPr>
        <w:t>规</w:t>
      </w:r>
      <w:r>
        <w:rPr>
          <w:rFonts w:hint="eastAsia" w:ascii="宋体" w:hAnsi="Times New Roman" w:eastAsia="宋体" w:cs="Times New Roman"/>
          <w:sz w:val="21"/>
          <w:lang w:val="en-US" w:eastAsia="zh-CN" w:bidi="ar-SA"/>
        </w:rPr>
        <w:t>范性文件；</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事故单位和事发地人民政府应急预案；</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事故音像资料、救援过程中视频记录资料；</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事故调查过程中涉及的谈话及询问笔录；</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事故救援过程产生的物证及现场勘查取得的资料；</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信息接收、报送原始记录；</w:t>
      </w:r>
    </w:p>
    <w:p>
      <w:pPr>
        <w:numPr>
          <w:ilvl w:val="0"/>
          <w:numId w:val="2"/>
        </w:numPr>
        <w:tabs>
          <w:tab w:val="left" w:pos="2400"/>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专家论证、技术鉴定意见。</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15" w:name="_Toc80869761"/>
      <w:bookmarkEnd w:id="115"/>
      <w:bookmarkStart w:id="116" w:name="_Toc118880414"/>
      <w:bookmarkStart w:id="117" w:name="_Toc118880708"/>
      <w:bookmarkStart w:id="118" w:name="_Toc74216829"/>
      <w:bookmarkStart w:id="119" w:name="_Toc74216867"/>
      <w:bookmarkStart w:id="120" w:name="_Toc81406814"/>
      <w:bookmarkStart w:id="121" w:name="_Toc69116534"/>
      <w:bookmarkStart w:id="122" w:name="_Toc81406848"/>
      <w:bookmarkStart w:id="123" w:name="_Toc80692172"/>
      <w:bookmarkStart w:id="124" w:name="_Toc61420132"/>
      <w:bookmarkStart w:id="125" w:name="_Toc80869762"/>
      <w:bookmarkStart w:id="126" w:name="_Toc74217078"/>
      <w:r>
        <w:rPr>
          <w:rFonts w:hint="eastAsia" w:ascii="黑体" w:hAnsi="Times New Roman" w:eastAsia="黑体" w:cs="Times New Roman"/>
          <w:sz w:val="21"/>
          <w:lang w:val="en-US" w:eastAsia="zh-CN" w:bidi="ar-SA"/>
        </w:rPr>
        <w:t>评估原则</w:t>
      </w:r>
      <w:bookmarkEnd w:id="116"/>
      <w:bookmarkEnd w:id="117"/>
      <w:bookmarkEnd w:id="118"/>
      <w:bookmarkEnd w:id="119"/>
      <w:bookmarkEnd w:id="120"/>
      <w:bookmarkEnd w:id="121"/>
      <w:bookmarkEnd w:id="122"/>
      <w:bookmarkEnd w:id="123"/>
      <w:bookmarkEnd w:id="124"/>
      <w:bookmarkEnd w:id="125"/>
      <w:bookmarkEnd w:id="126"/>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评估工作应遵循科学严谨、依法依规、实事求是和注重实效的原则。</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27" w:name="_Toc74217079"/>
      <w:bookmarkStart w:id="128" w:name="_Toc80692173"/>
      <w:bookmarkStart w:id="129" w:name="_Toc74216868"/>
      <w:bookmarkStart w:id="130" w:name="_Toc74216830"/>
      <w:bookmarkStart w:id="131" w:name="_Toc80869764"/>
      <w:bookmarkStart w:id="132" w:name="_Toc81406815"/>
      <w:bookmarkStart w:id="133" w:name="_Toc118880415"/>
      <w:bookmarkStart w:id="134" w:name="_Toc81406849"/>
      <w:bookmarkStart w:id="135" w:name="_Toc118880709"/>
      <w:r>
        <w:rPr>
          <w:rFonts w:hint="eastAsia" w:ascii="黑体" w:hAnsi="Times New Roman" w:eastAsia="黑体" w:cs="Times New Roman"/>
          <w:sz w:val="21"/>
          <w:lang w:val="en-US" w:eastAsia="zh-CN" w:bidi="ar-SA"/>
        </w:rPr>
        <w:t>评估</w:t>
      </w:r>
      <w:bookmarkEnd w:id="127"/>
      <w:bookmarkEnd w:id="128"/>
      <w:bookmarkEnd w:id="129"/>
      <w:bookmarkEnd w:id="130"/>
      <w:bookmarkEnd w:id="131"/>
      <w:r>
        <w:rPr>
          <w:rFonts w:hint="eastAsia" w:ascii="黑体" w:hAnsi="Times New Roman" w:eastAsia="黑体" w:cs="Times New Roman"/>
          <w:sz w:val="21"/>
          <w:lang w:val="en-US" w:eastAsia="zh-CN" w:bidi="ar-SA"/>
        </w:rPr>
        <w:t>方式</w:t>
      </w:r>
      <w:bookmarkEnd w:id="132"/>
      <w:bookmarkEnd w:id="133"/>
      <w:bookmarkEnd w:id="134"/>
      <w:bookmarkEnd w:id="135"/>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36" w:name="_Toc118880710"/>
      <w:r>
        <w:rPr>
          <w:rFonts w:hint="eastAsia" w:ascii="黑体" w:hAnsi="Times New Roman" w:eastAsia="黑体" w:cs="Times New Roman"/>
          <w:sz w:val="21"/>
          <w:lang w:val="en-US" w:eastAsia="zh-CN" w:bidi="ar-SA"/>
        </w:rPr>
        <w:t>资料分析</w:t>
      </w:r>
      <w:bookmarkEnd w:id="136"/>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通过生产安全事故应急救援文字材料、音像资料、总结材料和数据信息，真实还原事故发生和应急救援的全过程，分析应急救援的关键节点。</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询问谈话</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通过询问有关人员，听取事故单位、事发地人民政府应急救援现场指挥部及参与处置和救援的部门、应急救援队伍关于事故及应急救援情况说明，掌握事故应急救援的全过程，并做好询问笔录。</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37" w:name="_Toc118880712"/>
      <w:r>
        <w:rPr>
          <w:rFonts w:hint="eastAsia" w:ascii="黑体" w:hAnsi="Times New Roman" w:eastAsia="黑体" w:cs="Times New Roman"/>
          <w:sz w:val="21"/>
          <w:lang w:val="en-US" w:eastAsia="zh-CN" w:bidi="ar-SA"/>
        </w:rPr>
        <w:t>专家论证</w:t>
      </w:r>
      <w:bookmarkEnd w:id="137"/>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通过召开专家会议对事故应急救援过程中事故单位和事发地人民政府在</w:t>
      </w:r>
      <w:r>
        <w:rPr>
          <w:rFonts w:hint="eastAsia" w:ascii="宋体" w:hAnsi="宋体" w:eastAsia="宋体" w:cs="Times New Roman"/>
          <w:sz w:val="21"/>
          <w:lang w:val="en-US" w:eastAsia="zh-CN" w:bidi="ar-SA"/>
        </w:rPr>
        <w:t>事故发生前预警</w:t>
      </w:r>
      <w:r>
        <w:rPr>
          <w:rFonts w:hint="eastAsia" w:ascii="宋体" w:hAnsi="Times New Roman" w:eastAsia="宋体" w:cs="Times New Roman"/>
          <w:sz w:val="21"/>
          <w:lang w:val="en-US" w:eastAsia="zh-CN" w:bidi="ar-SA"/>
        </w:rPr>
        <w:t>、应急响应、应急处置等关键环节进行救援过程的论证。</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38" w:name="_Toc118880713"/>
      <w:r>
        <w:rPr>
          <w:rFonts w:hint="eastAsia" w:ascii="黑体" w:hAnsi="Times New Roman" w:eastAsia="黑体" w:cs="Times New Roman"/>
          <w:sz w:val="21"/>
          <w:lang w:val="en-US" w:eastAsia="zh-CN" w:bidi="ar-SA"/>
        </w:rPr>
        <w:t>现场勘查</w:t>
      </w:r>
      <w:bookmarkEnd w:id="138"/>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对事故救援现场勘验和检查，发现、固定、提取有关证据的过程。</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39" w:name="_Toc118880714"/>
      <w:r>
        <w:rPr>
          <w:rFonts w:hint="eastAsia" w:ascii="黑体" w:hAnsi="Times New Roman" w:eastAsia="黑体" w:cs="Times New Roman"/>
          <w:sz w:val="21"/>
          <w:lang w:val="en-US" w:eastAsia="zh-CN" w:bidi="ar-SA"/>
        </w:rPr>
        <w:t>技术鉴定</w:t>
      </w:r>
      <w:bookmarkEnd w:id="139"/>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委托专业机构对应急救援过程中物证及技术措施进行审查、测试和评价并作出结论。</w:t>
      </w:r>
    </w:p>
    <w:p>
      <w:pPr>
        <w:keepNext w:val="0"/>
        <w:keepLines w:val="0"/>
        <w:pageBreakBefore w:val="0"/>
        <w:widowControl/>
        <w:numPr>
          <w:ilvl w:val="1"/>
          <w:numId w:val="8"/>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140" w:name="_Toc118880715"/>
      <w:bookmarkStart w:id="141" w:name="_Toc118880416"/>
      <w:r>
        <w:rPr>
          <w:rFonts w:hint="eastAsia" w:ascii="黑体" w:hAnsi="Times New Roman" w:eastAsia="黑体" w:cs="Times New Roman"/>
          <w:sz w:val="21"/>
          <w:lang w:val="en-US" w:eastAsia="zh-CN" w:bidi="ar-SA"/>
        </w:rPr>
        <w:t>评估程序</w:t>
      </w:r>
      <w:bookmarkEnd w:id="140"/>
      <w:bookmarkEnd w:id="141"/>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准备与启动</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在事故调查组内成立救援评估组（以下简称评估组），启动评估工作，可聘请专家或第三方专业机构参与应急救援评估工作。评估启动工作包括：</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明确评估组的组成人员；</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明确工作任务，制定评估工作方案；</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召开评估组内部会议，明确任务分工和进度安排；</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收集评估工作需要的法律、法规、规章、标准和</w:t>
      </w:r>
      <w:r>
        <w:rPr>
          <w:rFonts w:ascii="宋体" w:hAnsi="Times New Roman" w:eastAsia="宋体" w:cs="Times New Roman"/>
          <w:sz w:val="21"/>
          <w:lang w:val="en-US" w:eastAsia="zh-CN" w:bidi="ar-SA"/>
        </w:rPr>
        <w:t>规</w:t>
      </w:r>
      <w:r>
        <w:rPr>
          <w:rFonts w:hint="eastAsia" w:ascii="宋体" w:hAnsi="Times New Roman" w:eastAsia="宋体" w:cs="Times New Roman"/>
          <w:sz w:val="21"/>
          <w:lang w:val="en-US" w:eastAsia="zh-CN" w:bidi="ar-SA"/>
        </w:rPr>
        <w:t>范性文件。</w:t>
      </w:r>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42" w:name="_Toc118880717"/>
      <w:bookmarkStart w:id="143" w:name="_Toc118880418"/>
      <w:bookmarkStart w:id="144" w:name="_Toc81406853"/>
      <w:r>
        <w:rPr>
          <w:rFonts w:ascii="黑体" w:hAnsi="Times New Roman" w:eastAsia="黑体" w:cs="Times New Roman"/>
          <w:sz w:val="21"/>
          <w:lang w:val="en-US" w:eastAsia="zh-CN" w:bidi="ar-SA"/>
        </w:rPr>
        <w:t>评估</w:t>
      </w:r>
      <w:r>
        <w:rPr>
          <w:rFonts w:hint="eastAsia" w:ascii="黑体" w:hAnsi="Times New Roman" w:eastAsia="黑体" w:cs="Times New Roman"/>
          <w:sz w:val="21"/>
          <w:lang w:val="en-US" w:eastAsia="zh-CN" w:bidi="ar-SA"/>
        </w:rPr>
        <w:t>实施</w:t>
      </w:r>
      <w:bookmarkEnd w:id="142"/>
      <w:bookmarkEnd w:id="143"/>
      <w:bookmarkEnd w:id="144"/>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45" w:name="_Toc118880718"/>
      <w:r>
        <w:rPr>
          <w:rFonts w:hint="eastAsia" w:ascii="黑体" w:hAnsi="Times New Roman" w:eastAsia="黑体" w:cs="Times New Roman"/>
          <w:sz w:val="21"/>
          <w:lang w:val="en-US" w:eastAsia="zh-CN" w:bidi="ar-SA"/>
        </w:rPr>
        <w:t>收集资料</w:t>
      </w:r>
      <w:bookmarkEnd w:id="145"/>
    </w:p>
    <w:p>
      <w:pPr>
        <w:widowControl/>
        <w:numPr>
          <w:ilvl w:val="0"/>
          <w:numId w:val="0"/>
        </w:numPr>
        <w:spacing w:beforeLines="0" w:afterLines="0"/>
        <w:ind w:firstLine="420" w:firstLineChars="200"/>
        <w:jc w:val="both"/>
        <w:outlineLvl w:val="3"/>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评估组向事故单位、事发地人民政府及相关部门收集的资料包括：</w:t>
      </w:r>
    </w:p>
    <w:p>
      <w:pPr>
        <w:numPr>
          <w:ilvl w:val="0"/>
          <w:numId w:val="10"/>
        </w:numPr>
        <w:shd w:val="clear" w:color="FFFFFF" w:fill="FFFFFF"/>
        <w:tabs>
          <w:tab w:val="left" w:pos="851"/>
        </w:tabs>
        <w:spacing w:beforeLines="0" w:afterLines="0"/>
        <w:ind w:left="850" w:hanging="425"/>
        <w:jc w:val="both"/>
        <w:outlineLvl w:val="0"/>
        <w:rPr>
          <w:rFonts w:ascii="宋体" w:hAnsi="Times New Roman" w:eastAsia="宋体" w:cs="Times New Roman"/>
          <w:sz w:val="21"/>
          <w:lang w:val="en-US" w:eastAsia="zh-CN" w:bidi="ar-SA"/>
        </w:rPr>
      </w:pPr>
      <w:bookmarkStart w:id="146" w:name="_Toc118880719"/>
      <w:bookmarkStart w:id="147" w:name="_Toc118880419"/>
      <w:r>
        <w:rPr>
          <w:rFonts w:hint="eastAsia" w:ascii="宋体" w:hAnsi="Times New Roman" w:eastAsia="宋体" w:cs="Times New Roman"/>
          <w:sz w:val="21"/>
          <w:lang w:val="en-US" w:eastAsia="zh-CN" w:bidi="ar-SA"/>
        </w:rPr>
        <w:t>事故的基本情况，主要包括：事故单位概况、人员伤亡、财产损失情况，事故初步原因；</w:t>
      </w:r>
      <w:bookmarkEnd w:id="146"/>
      <w:bookmarkEnd w:id="147"/>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事发地人民政府及相关部门、事故单位的风险评估、应急预案及演练、培训教育、应急资源调查情况；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事故单位事故发生前预警情况；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事故单位信息报送、应急响应、应急救援情况；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事发地人民政府及相关部门信息接报、应急响应、应急救援情况；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参与应急救援队伍及其他应急救援力量信息接报、应急响应、应急救援物资装备、应急救援情况；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应急救援现场指挥部人员构成、分工、组织指挥体系，救援方案制定及执行，现场管理，信息发布与舆情引导情况；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后期处置情况及环境影响防控措施执行情况；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其他需要提供的情况。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48" w:name="_Toc118880720"/>
      <w:r>
        <w:rPr>
          <w:rFonts w:hint="eastAsia" w:ascii="黑体" w:hAnsi="Times New Roman" w:eastAsia="黑体" w:cs="Times New Roman"/>
          <w:sz w:val="21"/>
          <w:lang w:val="en-US" w:eastAsia="zh-CN" w:bidi="ar-SA"/>
        </w:rPr>
        <w:t>评估</w:t>
      </w:r>
      <w:bookmarkEnd w:id="148"/>
      <w:r>
        <w:rPr>
          <w:rFonts w:hint="eastAsia" w:ascii="黑体" w:hAnsi="Times New Roman" w:eastAsia="黑体" w:cs="Times New Roman"/>
          <w:sz w:val="21"/>
          <w:lang w:val="en-US" w:eastAsia="zh-CN" w:bidi="ar-SA"/>
        </w:rPr>
        <w:t>分析</w:t>
      </w:r>
    </w:p>
    <w:p>
      <w:pPr>
        <w:autoSpaceDE w:val="0"/>
        <w:autoSpaceDN w:val="0"/>
        <w:ind w:firstLine="420" w:firstLineChars="200"/>
        <w:jc w:val="both"/>
        <w:rPr>
          <w:rFonts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评估组应按照第6章要求对评估对象开展应急救援评估工作。应急救援评估表见附录A。</w:t>
      </w:r>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49" w:name="_Toc118880420"/>
      <w:bookmarkStart w:id="150" w:name="_Toc118880721"/>
      <w:bookmarkStart w:id="151" w:name="_Toc81406854"/>
      <w:r>
        <w:rPr>
          <w:rFonts w:ascii="黑体" w:hAnsi="Times New Roman" w:eastAsia="黑体" w:cs="Times New Roman"/>
          <w:sz w:val="21"/>
          <w:lang w:val="en-US" w:eastAsia="zh-CN" w:bidi="ar-SA"/>
        </w:rPr>
        <w:t>评估</w:t>
      </w:r>
      <w:bookmarkEnd w:id="149"/>
      <w:bookmarkEnd w:id="150"/>
      <w:bookmarkEnd w:id="151"/>
      <w:r>
        <w:rPr>
          <w:rFonts w:hint="eastAsia" w:ascii="黑体" w:hAnsi="Times New Roman" w:eastAsia="黑体" w:cs="Times New Roman"/>
          <w:sz w:val="21"/>
          <w:lang w:val="en-US" w:eastAsia="zh-CN" w:bidi="ar-SA"/>
        </w:rPr>
        <w:t>总结</w:t>
      </w:r>
    </w:p>
    <w:p>
      <w:pPr>
        <w:autoSpaceDE w:val="0"/>
        <w:autoSpaceDN w:val="0"/>
        <w:ind w:firstLine="420" w:firstLineChars="200"/>
        <w:jc w:val="both"/>
        <w:rPr>
          <w:rFonts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评估组应汇总评估过程中发现的经验和问题，形成公正客观的评估意见，得出应急救援评估结论，撰写应急救援评估报告，由全体评估组成员签字后提交事故调查组。生产安全事故应急救援评估报告大纲参见附录B，报告内容包括：</w:t>
      </w:r>
    </w:p>
    <w:p>
      <w:pPr>
        <w:numPr>
          <w:ilvl w:val="0"/>
          <w:numId w:val="11"/>
        </w:numPr>
        <w:shd w:val="clear" w:color="FFFFFF" w:fill="FFFFFF"/>
        <w:tabs>
          <w:tab w:val="left" w:pos="851"/>
        </w:tabs>
        <w:spacing w:beforeLines="0" w:afterLines="0"/>
        <w:ind w:left="850" w:hanging="425"/>
        <w:jc w:val="both"/>
        <w:outlineLvl w:val="0"/>
        <w:rPr>
          <w:rFonts w:cs="Times New Roman" w:asciiTheme="minorEastAsia" w:hAnsiTheme="minorEastAsia" w:eastAsiaTheme="minorEastAsia"/>
          <w:sz w:val="21"/>
          <w:lang w:val="en-US" w:eastAsia="zh-CN" w:bidi="ar-SA"/>
        </w:rPr>
      </w:pPr>
      <w:bookmarkStart w:id="152" w:name="_Toc118880722"/>
      <w:bookmarkStart w:id="153" w:name="_Toc118880421"/>
      <w:r>
        <w:rPr>
          <w:rFonts w:hint="eastAsia" w:cs="Times New Roman" w:asciiTheme="minorEastAsia" w:hAnsiTheme="minorEastAsia" w:eastAsiaTheme="minorEastAsia"/>
          <w:sz w:val="21"/>
          <w:lang w:val="en-US" w:eastAsia="zh-CN" w:bidi="ar-SA"/>
        </w:rPr>
        <w:t>应急救援基本情况：包括事故单位情况、事故发生简要经过、事故应急处置概况</w:t>
      </w:r>
      <w:bookmarkEnd w:id="152"/>
      <w:bookmarkEnd w:id="153"/>
      <w:r>
        <w:rPr>
          <w:rFonts w:hint="eastAsia" w:cs="Times New Roman" w:asciiTheme="minorEastAsia" w:hAnsiTheme="minorEastAsia" w:eastAsiaTheme="minorEastAsia"/>
          <w:sz w:val="21"/>
          <w:lang w:val="en-US" w:eastAsia="zh-CN" w:bidi="ar-SA"/>
        </w:rPr>
        <w:t>；</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应急准备情况：事故单位、事发地人民政府及相关部门应急准备情况；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预警情况：事故单位在事故发生前预警；</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处置过程：包括信息接报、企业先期处置、事发地人民政府及相关部门应急响应（政府响应、部门联动）、组织指挥（各级指挥部成立及运行情况）、处置主要过程、人员伤亡情况、信息发布和舆情引导、善后处置；</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应急保障情况：包括专业技术保障，救援队伍及物资装备保障，公安、卫健、电力、通信、供水、燃气、气象、城管、交通部门救援力量及物资装备保障；</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事故特点及救援难点：系统总结事故特点，分析救援过程中存在的难点；</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评估意见：主要包括应急救援评估结论、救援经验做法和存在问题不足，并对存在的失职渎职情况，按照有关规定提出处理建议。在报告正文或脚注中将违反的法律、法规、规章、标准及规范性文件的具体条款或内容列出；</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工作建议：提出应急救援工作中的建议；</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附件：提供证据文件或图表。</w:t>
      </w:r>
    </w:p>
    <w:p>
      <w:pPr>
        <w:keepNext w:val="0"/>
        <w:keepLines w:val="0"/>
        <w:pageBreakBefore w:val="0"/>
        <w:widowControl/>
        <w:numPr>
          <w:ilvl w:val="1"/>
          <w:numId w:val="8"/>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154" w:name="_Toc118880422"/>
      <w:bookmarkStart w:id="155" w:name="_Toc118880723"/>
      <w:bookmarkStart w:id="156" w:name="_Toc80692183"/>
      <w:r>
        <w:rPr>
          <w:rFonts w:ascii="黑体" w:hAnsi="Times New Roman" w:eastAsia="黑体" w:cs="Times New Roman"/>
          <w:sz w:val="21"/>
          <w:lang w:val="en-US" w:eastAsia="zh-CN" w:bidi="ar-SA"/>
        </w:rPr>
        <w:t>评估内容</w:t>
      </w:r>
      <w:bookmarkEnd w:id="154"/>
      <w:bookmarkEnd w:id="155"/>
      <w:bookmarkEnd w:id="156"/>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57" w:name="_Toc118880724"/>
      <w:bookmarkStart w:id="158" w:name="_Toc118880423"/>
      <w:r>
        <w:rPr>
          <w:rFonts w:hint="eastAsia" w:ascii="黑体" w:hAnsi="Times New Roman" w:eastAsia="黑体" w:cs="Times New Roman"/>
          <w:sz w:val="21"/>
          <w:lang w:val="en-US" w:eastAsia="zh-CN" w:bidi="ar-SA"/>
        </w:rPr>
        <w:t>事故单位应急救援情况评估</w:t>
      </w:r>
      <w:bookmarkEnd w:id="157"/>
      <w:bookmarkEnd w:id="158"/>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59" w:name="_Toc118880725"/>
      <w:r>
        <w:rPr>
          <w:rFonts w:hint="eastAsia" w:ascii="黑体" w:hAnsi="Times New Roman" w:eastAsia="黑体" w:cs="Times New Roman"/>
          <w:sz w:val="21"/>
          <w:lang w:val="en-US" w:eastAsia="zh-CN" w:bidi="ar-SA"/>
        </w:rPr>
        <w:t>应急准备</w:t>
      </w:r>
      <w:bookmarkEnd w:id="159"/>
    </w:p>
    <w:p>
      <w:pPr>
        <w:autoSpaceDE w:val="0"/>
        <w:autoSpaceDN w:val="0"/>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应急</w:t>
      </w:r>
      <w:r>
        <w:rPr>
          <w:rFonts w:ascii="Times New Roman" w:hAnsi="Times New Roman" w:eastAsia="宋体" w:cs="Times New Roman"/>
          <w:sz w:val="21"/>
          <w:lang w:val="en-US" w:eastAsia="zh-CN" w:bidi="ar-SA"/>
        </w:rPr>
        <w:t>准备</w:t>
      </w:r>
      <w:r>
        <w:rPr>
          <w:rFonts w:hint="eastAsia" w:ascii="Times New Roman" w:hAnsi="Times New Roman" w:eastAsia="宋体" w:cs="Times New Roman"/>
          <w:sz w:val="21"/>
          <w:lang w:val="en-US" w:eastAsia="zh-CN" w:bidi="ar-SA"/>
        </w:rPr>
        <w:t>的评估</w:t>
      </w:r>
      <w:r>
        <w:rPr>
          <w:rFonts w:ascii="Times New Roman" w:hAnsi="Times New Roman" w:eastAsia="宋体" w:cs="Times New Roman"/>
          <w:sz w:val="21"/>
          <w:lang w:val="en-US" w:eastAsia="zh-CN" w:bidi="ar-SA"/>
        </w:rPr>
        <w:t>包括：</w:t>
      </w:r>
    </w:p>
    <w:p>
      <w:pPr>
        <w:numPr>
          <w:ilvl w:val="0"/>
          <w:numId w:val="12"/>
        </w:numPr>
        <w:shd w:val="clear" w:color="FFFFFF" w:fill="FFFFFF"/>
        <w:tabs>
          <w:tab w:val="left" w:pos="851"/>
        </w:tabs>
        <w:spacing w:beforeLines="0" w:afterLines="0"/>
        <w:ind w:left="850" w:hanging="425"/>
        <w:jc w:val="left"/>
        <w:outlineLvl w:val="0"/>
        <w:rPr>
          <w:rFonts w:cs="Times New Roman" w:asciiTheme="minorEastAsia" w:hAnsiTheme="minorEastAsia" w:eastAsiaTheme="minorEastAsia"/>
          <w:sz w:val="21"/>
          <w:lang w:val="en-US" w:eastAsia="zh-CN" w:bidi="ar-SA"/>
        </w:rPr>
      </w:pPr>
      <w:bookmarkStart w:id="160" w:name="_Toc118880726"/>
      <w:bookmarkStart w:id="161" w:name="_Toc118880424"/>
      <w:r>
        <w:rPr>
          <w:rFonts w:hint="eastAsia" w:cs="Times New Roman" w:asciiTheme="minorEastAsia" w:hAnsiTheme="minorEastAsia" w:eastAsiaTheme="minorEastAsia"/>
          <w:sz w:val="21"/>
          <w:lang w:val="en-US" w:eastAsia="zh-CN" w:bidi="ar-SA"/>
        </w:rPr>
        <w:t>事故单位按</w:t>
      </w:r>
      <w:r>
        <w:rPr>
          <w:rFonts w:cs="Times New Roman" w:asciiTheme="minorEastAsia" w:hAnsiTheme="minorEastAsia" w:eastAsiaTheme="minorEastAsia"/>
          <w:sz w:val="21"/>
          <w:lang w:val="en-US" w:eastAsia="zh-CN" w:bidi="ar-SA"/>
        </w:rPr>
        <w:t>GB/T</w:t>
      </w:r>
      <w:r>
        <w:rPr>
          <w:rFonts w:hint="eastAsia" w:cs="Times New Roman" w:asciiTheme="minorEastAsia" w:hAnsiTheme="minorEastAsia" w:eastAsiaTheme="minorEastAsia"/>
          <w:sz w:val="21"/>
          <w:lang w:val="en-US" w:eastAsia="zh-CN" w:bidi="ar-SA"/>
        </w:rPr>
        <w:t xml:space="preserve"> </w:t>
      </w:r>
      <w:r>
        <w:rPr>
          <w:rFonts w:cs="Times New Roman" w:asciiTheme="minorEastAsia" w:hAnsiTheme="minorEastAsia" w:eastAsiaTheme="minorEastAsia"/>
          <w:sz w:val="21"/>
          <w:lang w:val="en-US" w:eastAsia="zh-CN" w:bidi="ar-SA"/>
        </w:rPr>
        <w:t>29639</w:t>
      </w:r>
      <w:r>
        <w:rPr>
          <w:rFonts w:hint="eastAsia" w:cs="Times New Roman" w:asciiTheme="minorEastAsia" w:hAnsiTheme="minorEastAsia" w:eastAsiaTheme="minorEastAsia"/>
          <w:sz w:val="21"/>
          <w:lang w:val="en-US" w:eastAsia="zh-CN" w:bidi="ar-SA"/>
        </w:rPr>
        <w:t>的要求开展风险辨识评估、编制应急预案情况，预案是否有针对性和可操作性，预案备案情况；</w:t>
      </w:r>
      <w:bookmarkEnd w:id="160"/>
      <w:bookmarkEnd w:id="161"/>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事故单位按照AQ/T 9007要求开展应急演练和按照</w:t>
      </w:r>
      <w:r>
        <w:rPr>
          <w:rFonts w:ascii="Times New Roman" w:hAnsi="Times New Roman" w:eastAsia="宋体" w:cs="Times New Roman"/>
          <w:sz w:val="21"/>
          <w:lang w:val="en-US" w:eastAsia="zh-CN" w:bidi="ar-SA"/>
        </w:rPr>
        <w:t>AQ/T 900</w:t>
      </w:r>
      <w:r>
        <w:rPr>
          <w:rFonts w:hint="eastAsia" w:ascii="Times New Roman" w:hAnsi="Times New Roman" w:eastAsia="宋体" w:cs="Times New Roman"/>
          <w:sz w:val="21"/>
          <w:lang w:val="en-US" w:eastAsia="zh-CN" w:bidi="ar-SA"/>
        </w:rPr>
        <w:t>9开展演练评估</w:t>
      </w:r>
      <w:r>
        <w:rPr>
          <w:rFonts w:hint="eastAsia" w:ascii="宋体" w:hAnsi="Times New Roman" w:eastAsia="宋体" w:cs="Times New Roman"/>
          <w:sz w:val="21"/>
          <w:lang w:val="en-US" w:eastAsia="zh-CN" w:bidi="ar-SA"/>
        </w:rPr>
        <w:t>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事故单位建立专（兼）职应急救援队伍（人员）、按规定配备值班人员和开展应急知识宣传教育培训情况；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事故单位应急组织架构、应急装备设施与物资保障情况。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62" w:name="_Toc118880727"/>
      <w:r>
        <w:rPr>
          <w:rFonts w:hint="eastAsia" w:ascii="黑体" w:hAnsi="Times New Roman" w:eastAsia="黑体" w:cs="Times New Roman"/>
          <w:sz w:val="21"/>
          <w:lang w:val="en-US" w:eastAsia="zh-CN" w:bidi="ar-SA"/>
        </w:rPr>
        <w:t>预警</w:t>
      </w:r>
    </w:p>
    <w:p>
      <w:pPr>
        <w:autoSpaceDE w:val="0"/>
        <w:autoSpaceDN w:val="0"/>
        <w:ind w:firstLine="409" w:firstLineChars="195"/>
        <w:jc w:val="both"/>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事故单位安全生产风险监测预警装置或系统发出警报信息情况，以及事故单位针对警情所采取相关措施情况。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应急响应</w:t>
      </w:r>
      <w:bookmarkEnd w:id="162"/>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6.1.3.1信息报送</w:t>
      </w:r>
    </w:p>
    <w:p>
      <w:pPr>
        <w:autoSpaceDE w:val="0"/>
        <w:autoSpaceDN w:val="0"/>
        <w:ind w:firstLine="409" w:firstLineChars="195"/>
        <w:jc w:val="both"/>
        <w:rPr>
          <w:rFonts w:ascii="宋体"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信息报送的评估</w:t>
      </w:r>
      <w:r>
        <w:rPr>
          <w:rFonts w:ascii="Times New Roman" w:hAnsi="Times New Roman" w:eastAsia="宋体" w:cs="Times New Roman"/>
          <w:sz w:val="21"/>
          <w:lang w:val="en-US" w:eastAsia="zh-CN" w:bidi="ar-SA"/>
        </w:rPr>
        <w:t>包括：</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事故发生后，事故现场人员按规定报告本单位负责人情况；</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事故单位按规定报告政府相关部门情况；</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事故单位信息报送的及时、准确、完整情况；</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若存在迟报、漏报、谎报、瞒报事故的情况应加以说明。</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6.1.3.2先期处置</w:t>
      </w:r>
    </w:p>
    <w:p>
      <w:pPr>
        <w:autoSpaceDE w:val="0"/>
        <w:autoSpaceDN w:val="0"/>
        <w:ind w:firstLine="409" w:firstLineChars="195"/>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先期处置的评估</w:t>
      </w:r>
      <w:r>
        <w:rPr>
          <w:rFonts w:ascii="Times New Roman" w:hAnsi="Times New Roman" w:eastAsia="宋体" w:cs="Times New Roman"/>
          <w:sz w:val="21"/>
          <w:lang w:val="en-US" w:eastAsia="zh-CN" w:bidi="ar-SA"/>
        </w:rPr>
        <w:t>包括：</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事故单位启动应急救援预案情况；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事故单位迅速采取有效措施控制危险源，组织抢救遇险人员，防止事故危害扩大情况；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事故单位组织营救被困人员，疏散、撤离、安置受到威胁的人员情况；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事故单位及时通知可能受到事故影响的单位和人员情况；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事故单位采取措施防范次生、衍生事故的情况；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事故单位请求邻近的应急救援队伍参加救援并支持配合救援队伍情况；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维护事故现场秩序，保护事故现场和证据情况。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3" w:name="_Toc118880728"/>
      <w:r>
        <w:rPr>
          <w:rFonts w:hint="eastAsia" w:ascii="黑体" w:hAnsi="Times New Roman" w:eastAsia="黑体" w:cs="Times New Roman"/>
          <w:sz w:val="21"/>
          <w:lang w:val="en-US" w:eastAsia="zh-CN" w:bidi="ar-SA"/>
        </w:rPr>
        <w:t>配合现场开展救援工作</w:t>
      </w:r>
      <w:bookmarkEnd w:id="163"/>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6.1.4.1应急联动</w:t>
      </w:r>
    </w:p>
    <w:p>
      <w:pPr>
        <w:autoSpaceDE w:val="0"/>
        <w:autoSpaceDN w:val="0"/>
        <w:ind w:left="420"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事故单位积极配合和支持前来救援的队伍开展救援行动情况。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6.1.4.2现场管理</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现场管理的评估包括：</w:t>
      </w:r>
    </w:p>
    <w:p>
      <w:pPr>
        <w:numPr>
          <w:ilvl w:val="0"/>
          <w:numId w:val="14"/>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事故单位采取有效措施维护现场秩序情况；</w:t>
      </w:r>
    </w:p>
    <w:p>
      <w:pPr>
        <w:numPr>
          <w:ilvl w:val="0"/>
          <w:numId w:val="14"/>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事故单位保护现场和证据情况。</w:t>
      </w:r>
      <w:bookmarkStart w:id="164" w:name="_Toc80692185"/>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5" w:name="_Toc118880729"/>
      <w:r>
        <w:rPr>
          <w:rFonts w:hint="eastAsia" w:ascii="黑体" w:hAnsi="Times New Roman" w:eastAsia="黑体" w:cs="Times New Roman"/>
          <w:sz w:val="21"/>
          <w:lang w:val="en-US" w:eastAsia="zh-CN" w:bidi="ar-SA"/>
        </w:rPr>
        <w:t>应急保障</w:t>
      </w:r>
      <w:bookmarkEnd w:id="165"/>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应急保障的评估包括：</w:t>
      </w:r>
    </w:p>
    <w:p>
      <w:pPr>
        <w:numPr>
          <w:ilvl w:val="0"/>
          <w:numId w:val="15"/>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专业技术保障情况；</w:t>
      </w:r>
    </w:p>
    <w:p>
      <w:pPr>
        <w:numPr>
          <w:ilvl w:val="0"/>
          <w:numId w:val="15"/>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救援队伍及物资装备保障情况。</w:t>
      </w:r>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66" w:name="_Toc118880731"/>
      <w:bookmarkStart w:id="167" w:name="_Toc118880425"/>
      <w:r>
        <w:rPr>
          <w:rFonts w:hint="eastAsia" w:ascii="黑体" w:hAnsi="Times New Roman" w:eastAsia="黑体" w:cs="Times New Roman"/>
          <w:sz w:val="21"/>
          <w:lang w:val="en-US" w:eastAsia="zh-CN" w:bidi="ar-SA"/>
        </w:rPr>
        <w:t>事发地人民政府应急救援情况评估</w:t>
      </w:r>
      <w:bookmarkEnd w:id="164"/>
      <w:bookmarkEnd w:id="166"/>
      <w:bookmarkEnd w:id="167"/>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8" w:name="_Toc118880732"/>
      <w:r>
        <w:rPr>
          <w:rFonts w:hint="eastAsia" w:ascii="黑体" w:hAnsi="Times New Roman" w:eastAsia="黑体" w:cs="Times New Roman"/>
          <w:sz w:val="21"/>
          <w:lang w:val="en-US" w:eastAsia="zh-CN" w:bidi="ar-SA"/>
        </w:rPr>
        <w:t>应急准备</w:t>
      </w:r>
      <w:bookmarkEnd w:id="168"/>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根据事故级别评估事发地人民政府的应急准备情况，包括：</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事发地人民政府应急组织机构设置、人员编制、职责界定，以及应急救援专家组建立情况；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事发地人民政府编制和修订应急预案情况，查看应急预案的针对性、可操作性和要素完整有效情况；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事发地人民政府及相关部门组织开展应急演练情况；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应急知识宣传教育培训情况；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应急值班制度和应急值班人员落实情况；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应急救援队伍建设、日常训练情况以及救援队伍人员具备必要的专业知识、技能、身体素质和心理素质情况。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9" w:name="_Toc118880733"/>
      <w:r>
        <w:rPr>
          <w:rFonts w:hint="eastAsia" w:ascii="黑体" w:hAnsi="Times New Roman" w:eastAsia="黑体" w:cs="Times New Roman"/>
          <w:sz w:val="21"/>
          <w:lang w:val="en-US" w:eastAsia="zh-CN" w:bidi="ar-SA"/>
        </w:rPr>
        <w:t>应急响应</w:t>
      </w:r>
      <w:bookmarkEnd w:id="169"/>
    </w:p>
    <w:p>
      <w:pPr>
        <w:numPr>
          <w:ilvl w:val="0"/>
          <w:numId w:val="0"/>
        </w:numPr>
        <w:spacing w:before="156" w:beforeLines="50" w:after="156" w:afterLines="50"/>
        <w:jc w:val="both"/>
        <w:outlineLvl w:val="1"/>
        <w:rPr>
          <w:rFonts w:ascii="黑体" w:hAnsi="Times New Roman" w:eastAsia="黑体" w:cs="Times New Roman"/>
          <w:sz w:val="21"/>
          <w:lang w:val="en-US" w:eastAsia="zh-CN" w:bidi="ar-SA"/>
        </w:rPr>
      </w:pPr>
      <w:bookmarkStart w:id="170" w:name="_Toc118880426"/>
      <w:bookmarkStart w:id="171" w:name="_Toc118880734"/>
      <w:r>
        <w:rPr>
          <w:rFonts w:hint="eastAsia" w:ascii="黑体" w:hAnsi="Times New Roman" w:eastAsia="黑体" w:cs="Times New Roman"/>
          <w:sz w:val="21"/>
          <w:lang w:val="en-US" w:eastAsia="zh-CN" w:bidi="ar-SA"/>
        </w:rPr>
        <w:t>6.2.2.1信息接收、流转和报送</w:t>
      </w:r>
      <w:bookmarkEnd w:id="170"/>
      <w:bookmarkEnd w:id="171"/>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信息接收、流转和报送的评估包括：</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事故信息接收的及时性；</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上报信息及时性和准确性；</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信息报告的内容完整性；</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信息在部门间的共享情况。</w:t>
      </w:r>
    </w:p>
    <w:p>
      <w:pPr>
        <w:numPr>
          <w:ilvl w:val="0"/>
          <w:numId w:val="0"/>
        </w:numPr>
        <w:spacing w:before="156" w:beforeLines="50" w:after="156" w:afterLines="50"/>
        <w:jc w:val="both"/>
        <w:outlineLvl w:val="1"/>
        <w:rPr>
          <w:rFonts w:ascii="黑体" w:hAnsi="Times New Roman" w:eastAsia="黑体" w:cs="Times New Roman"/>
          <w:sz w:val="21"/>
          <w:lang w:val="en-US" w:eastAsia="zh-CN" w:bidi="ar-SA"/>
        </w:rPr>
      </w:pPr>
      <w:bookmarkStart w:id="172" w:name="_Toc118880427"/>
      <w:bookmarkStart w:id="173" w:name="_Toc118880735"/>
      <w:r>
        <w:rPr>
          <w:rFonts w:hint="eastAsia" w:ascii="黑体" w:hAnsi="Times New Roman" w:eastAsia="黑体" w:cs="Times New Roman"/>
          <w:sz w:val="21"/>
          <w:lang w:val="en-US" w:eastAsia="zh-CN" w:bidi="ar-SA"/>
        </w:rPr>
        <w:t>6.2.2.2启动响应</w:t>
      </w:r>
      <w:bookmarkEnd w:id="172"/>
      <w:bookmarkEnd w:id="173"/>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事故发生后，事发地人民政府根据研判及时启动相应级别的应急响应情况。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74" w:name="_Toc118880736"/>
      <w:r>
        <w:rPr>
          <w:rFonts w:hint="eastAsia" w:ascii="黑体" w:hAnsi="Times New Roman" w:eastAsia="黑体" w:cs="Times New Roman"/>
          <w:sz w:val="21"/>
          <w:lang w:val="en-US" w:eastAsia="zh-CN" w:bidi="ar-SA"/>
        </w:rPr>
        <w:t>应急处置</w:t>
      </w:r>
      <w:bookmarkEnd w:id="174"/>
    </w:p>
    <w:p>
      <w:pPr>
        <w:numPr>
          <w:ilvl w:val="0"/>
          <w:numId w:val="0"/>
        </w:numPr>
        <w:spacing w:before="156" w:beforeLines="50" w:after="156" w:afterLines="50"/>
        <w:jc w:val="both"/>
        <w:outlineLvl w:val="1"/>
        <w:rPr>
          <w:rFonts w:ascii="黑体" w:hAnsi="Times New Roman" w:eastAsia="黑体" w:cs="Times New Roman"/>
          <w:sz w:val="21"/>
          <w:lang w:val="en-US" w:eastAsia="zh-CN" w:bidi="ar-SA"/>
        </w:rPr>
      </w:pPr>
      <w:bookmarkStart w:id="175" w:name="_Toc118880428"/>
      <w:bookmarkStart w:id="176" w:name="_Toc118880737"/>
      <w:r>
        <w:rPr>
          <w:rFonts w:hint="eastAsia" w:ascii="黑体" w:hAnsi="Times New Roman" w:eastAsia="黑体" w:cs="Times New Roman"/>
          <w:sz w:val="21"/>
          <w:lang w:val="en-US" w:eastAsia="zh-CN" w:bidi="ar-SA"/>
        </w:rPr>
        <w:t>6.2.3.1现场指挥</w:t>
      </w:r>
      <w:bookmarkEnd w:id="175"/>
      <w:bookmarkEnd w:id="176"/>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现场指挥的评估包括：</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按照法律法规和预案要求，成立现场指挥部及指挥场所情况；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现场指挥部下设工作组情况、各工作组的分工及协同救援情况；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现场指挥部对事故现场有效传达指令，进行有效管控情况；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现场指挥部抢险救援方案的制定以及应急救援队伍落实方案情况；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现场管理、交通管制、医疗卫生、环境监测、舆情引导工作协调联动情况。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6.2.3.2应急救援队伍和装备资源调动</w:t>
      </w:r>
    </w:p>
    <w:p>
      <w:pPr>
        <w:autoSpaceDE w:val="0"/>
        <w:autoSpaceDN w:val="0"/>
        <w:ind w:firstLine="420" w:firstLineChars="200"/>
        <w:jc w:val="both"/>
        <w:rPr>
          <w:rFonts w:ascii="宋体" w:hAnsi="Times New Roman" w:eastAsia="宋体" w:cs="Times New Roman"/>
          <w:b/>
          <w:sz w:val="21"/>
          <w:lang w:val="en-US" w:eastAsia="zh-CN" w:bidi="ar-SA"/>
        </w:rPr>
      </w:pPr>
      <w:r>
        <w:rPr>
          <w:rFonts w:hint="eastAsia" w:ascii="宋体" w:hAnsi="Times New Roman" w:eastAsia="宋体" w:cs="Times New Roman"/>
          <w:sz w:val="21"/>
          <w:lang w:val="en-US" w:eastAsia="zh-CN" w:bidi="ar-SA"/>
        </w:rPr>
        <w:t>应急救援队伍和装备资源调动的评估包括：</w:t>
      </w:r>
    </w:p>
    <w:p>
      <w:pPr>
        <w:numPr>
          <w:ilvl w:val="0"/>
          <w:numId w:val="18"/>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向应急救援队伍下达救援命令、有效调动应急救援队伍情况；</w:t>
      </w:r>
    </w:p>
    <w:p>
      <w:pPr>
        <w:numPr>
          <w:ilvl w:val="0"/>
          <w:numId w:val="18"/>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调用和征用应急资源、物资装备情况；</w:t>
      </w:r>
    </w:p>
    <w:p>
      <w:pPr>
        <w:numPr>
          <w:ilvl w:val="0"/>
          <w:numId w:val="18"/>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应急救援队伍物资装备使用情况。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6.2.3.3医疗救治和善后处置</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医疗救治和善后处置的评估包括：</w:t>
      </w:r>
    </w:p>
    <w:p>
      <w:pPr>
        <w:numPr>
          <w:ilvl w:val="0"/>
          <w:numId w:val="19"/>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组织抢救遇险人员，救治受伤人员，伤亡人员家属安抚，以及社会稳定情况；</w:t>
      </w:r>
    </w:p>
    <w:p>
      <w:pPr>
        <w:numPr>
          <w:ilvl w:val="0"/>
          <w:numId w:val="19"/>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通知可能受到事故影响的单位和人员避险安置情况。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6.2.3.4防止事故危害扩大和防控环境影响的措施</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防止事故危害扩大和防控环境影响措施的评估包括：</w:t>
      </w:r>
    </w:p>
    <w:p>
      <w:pPr>
        <w:numPr>
          <w:ilvl w:val="0"/>
          <w:numId w:val="20"/>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采取有效措施防止事故危害扩大和防范次生、衍生事故情况；</w:t>
      </w:r>
    </w:p>
    <w:p>
      <w:pPr>
        <w:numPr>
          <w:ilvl w:val="0"/>
          <w:numId w:val="20"/>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采取必要的措施减少事故对环境造成的危害情况；</w:t>
      </w:r>
    </w:p>
    <w:p>
      <w:pPr>
        <w:numPr>
          <w:ilvl w:val="0"/>
          <w:numId w:val="20"/>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有效研判事故发展趋势以及可能造成的危害情况。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6.2.3.5现场秩序维护</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现场秩序的评估包括：</w:t>
      </w:r>
    </w:p>
    <w:p>
      <w:pPr>
        <w:numPr>
          <w:ilvl w:val="0"/>
          <w:numId w:val="21"/>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按照要求隔离事故现场，划定警戒区域，有效维护现场秩序情况；</w:t>
      </w:r>
    </w:p>
    <w:p>
      <w:pPr>
        <w:numPr>
          <w:ilvl w:val="0"/>
          <w:numId w:val="21"/>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及时疏散和安置事故可能影响的人员情况；</w:t>
      </w:r>
    </w:p>
    <w:p>
      <w:pPr>
        <w:numPr>
          <w:ilvl w:val="0"/>
          <w:numId w:val="21"/>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对现场周边及有关区域实行交通管制情况。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6.2.3.6信息发布和舆情引导</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评估有关事故情况和应急救援工作信息发布的及时性，以及舆情引导的有效性。</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77" w:name="_Toc118880738"/>
      <w:r>
        <w:rPr>
          <w:rFonts w:hint="eastAsia" w:ascii="黑体" w:hAnsi="Times New Roman" w:eastAsia="黑体" w:cs="Times New Roman"/>
          <w:sz w:val="21"/>
          <w:lang w:val="en-US" w:eastAsia="zh-CN" w:bidi="ar-SA"/>
        </w:rPr>
        <w:t>应急保障</w:t>
      </w:r>
      <w:bookmarkEnd w:id="177"/>
    </w:p>
    <w:bookmarkEnd w:id="7"/>
    <w:p>
      <w:pPr>
        <w:pStyle w:val="20"/>
        <w:ind w:firstLine="420"/>
      </w:pPr>
      <w:r>
        <w:rPr>
          <w:rFonts w:hint="eastAsia"/>
          <w:lang w:eastAsia="zh-CN"/>
        </w:rPr>
        <w:t>事发地</w:t>
      </w:r>
      <w:r>
        <w:rPr>
          <w:rFonts w:hint="eastAsia"/>
        </w:rPr>
        <w:t>人民政府的应急保障情况</w:t>
      </w:r>
      <w:r>
        <w:rPr>
          <w:rFonts w:hint="eastAsia"/>
          <w:lang w:eastAsia="zh-CN"/>
        </w:rPr>
        <w:t>的评估</w:t>
      </w:r>
      <w:r>
        <w:rPr>
          <w:rFonts w:hint="eastAsia"/>
        </w:rPr>
        <w:t>包括：</w:t>
      </w:r>
    </w:p>
    <w:p>
      <w:pPr>
        <w:pStyle w:val="20"/>
        <w:numPr>
          <w:ilvl w:val="0"/>
          <w:numId w:val="22"/>
        </w:numPr>
        <w:ind w:firstLineChars="0"/>
      </w:pPr>
      <w:r>
        <w:rPr>
          <w:rFonts w:hint="eastAsia"/>
          <w:lang w:eastAsia="zh-CN"/>
        </w:rPr>
        <w:t>专业技术保障情况；</w:t>
      </w:r>
    </w:p>
    <w:p>
      <w:pPr>
        <w:pStyle w:val="20"/>
        <w:numPr>
          <w:ilvl w:val="0"/>
          <w:numId w:val="22"/>
        </w:numPr>
        <w:ind w:firstLineChars="0"/>
      </w:pPr>
      <w:r>
        <w:rPr>
          <w:rFonts w:hint="eastAsia"/>
        </w:rPr>
        <w:t>救援队伍</w:t>
      </w:r>
      <w:r>
        <w:rPr>
          <w:rFonts w:hint="eastAsia"/>
          <w:lang w:eastAsia="zh-CN"/>
        </w:rPr>
        <w:t>及物资装备</w:t>
      </w:r>
      <w:r>
        <w:rPr>
          <w:rFonts w:hint="eastAsia"/>
        </w:rPr>
        <w:t>保障情况</w:t>
      </w:r>
      <w:r>
        <w:rPr>
          <w:rFonts w:hint="eastAsia"/>
          <w:lang w:eastAsia="zh-CN"/>
        </w:rPr>
        <w:t>；</w:t>
      </w:r>
    </w:p>
    <w:p>
      <w:pPr>
        <w:pStyle w:val="20"/>
        <w:numPr>
          <w:ilvl w:val="0"/>
          <w:numId w:val="22"/>
        </w:numPr>
        <w:ind w:firstLineChars="0"/>
      </w:pPr>
      <w:r>
        <w:rPr>
          <w:rFonts w:hint="eastAsia"/>
        </w:rPr>
        <w:t>公安、卫健、电力、通信、供水、燃气、气象、城管、交通部门救援力量及物资装备保障情况。</w:t>
      </w:r>
    </w:p>
    <w:p>
      <w:pPr>
        <w:pStyle w:val="20"/>
        <w:ind w:firstLine="420"/>
      </w:pPr>
    </w:p>
    <w:p>
      <w:pPr>
        <w:pStyle w:val="20"/>
        <w:ind w:firstLine="420"/>
        <w:sectPr>
          <w:headerReference r:id="rId11" w:type="default"/>
          <w:footerReference r:id="rId12" w:type="default"/>
          <w:pgSz w:w="11906" w:h="16838"/>
          <w:pgMar w:top="1871" w:right="1134" w:bottom="1134" w:left="1134" w:header="1418" w:footer="1134" w:gutter="284"/>
          <w:pgNumType w:fmt="decimal" w:start="1"/>
          <w:cols w:space="720" w:num="1"/>
          <w:formProt w:val="0"/>
          <w:docGrid w:type="lines" w:linePitch="312" w:charSpace="0"/>
        </w:sectPr>
      </w:pPr>
    </w:p>
    <w:p>
      <w:pPr>
        <w:pStyle w:val="47"/>
        <w:numPr>
          <w:ilvl w:val="0"/>
          <w:numId w:val="23"/>
        </w:numPr>
        <w:ind w:firstLine="0"/>
        <w:rPr>
          <w:vanish w:val="0"/>
        </w:rPr>
      </w:pPr>
      <w:bookmarkStart w:id="178" w:name="BookMark5"/>
    </w:p>
    <w:p>
      <w:pPr>
        <w:pStyle w:val="44"/>
        <w:numPr>
          <w:ilvl w:val="0"/>
          <w:numId w:val="1"/>
        </w:numPr>
        <w:ind w:firstLine="0"/>
        <w:rPr>
          <w:vanish w:val="0"/>
        </w:rPr>
      </w:pPr>
    </w:p>
    <w:p>
      <w:pPr>
        <w:pStyle w:val="32"/>
        <w:keepNext w:val="0"/>
        <w:keepLines w:val="0"/>
        <w:pageBreakBefore w:val="0"/>
        <w:widowControl/>
        <w:numPr>
          <w:ilvl w:val="0"/>
          <w:numId w:val="4"/>
        </w:numPr>
        <w:kinsoku/>
        <w:wordWrap/>
        <w:overflowPunct/>
        <w:topLinePunct w:val="0"/>
        <w:autoSpaceDE/>
        <w:autoSpaceDN/>
        <w:bidi w:val="0"/>
        <w:adjustRightInd/>
        <w:snapToGrid/>
        <w:spacing w:before="78" w:after="156"/>
        <w:ind w:left="0"/>
        <w:textAlignment w:val="auto"/>
      </w:pPr>
      <w:r>
        <w:br w:type="textWrapping"/>
      </w:r>
      <w:bookmarkStart w:id="179" w:name="_Toc118880739"/>
      <w:bookmarkStart w:id="180" w:name="_Toc118880429"/>
      <w:r>
        <w:rPr>
          <w:rFonts w:hint="eastAsia"/>
        </w:rPr>
        <w:t>（规范性）</w:t>
      </w:r>
      <w:r>
        <w:br w:type="textWrapping"/>
      </w:r>
      <w:r>
        <w:rPr>
          <w:rFonts w:hint="eastAsia"/>
          <w:lang w:eastAsia="zh-CN"/>
        </w:rPr>
        <w:t>生产安全事故</w:t>
      </w:r>
      <w:r>
        <w:rPr>
          <w:rFonts w:hint="eastAsia"/>
          <w:szCs w:val="22"/>
          <w:lang w:eastAsia="zh-CN"/>
        </w:rPr>
        <w:t>应急救援评估表</w:t>
      </w:r>
      <w:bookmarkEnd w:id="179"/>
      <w:bookmarkEnd w:id="180"/>
    </w:p>
    <w:p>
      <w:pPr>
        <w:pStyle w:val="20"/>
        <w:ind w:firstLine="0" w:firstLineChars="0"/>
        <w:jc w:val="center"/>
        <w:rPr>
          <w:rFonts w:ascii="黑体" w:hAnsi="黑体" w:eastAsia="黑体"/>
          <w:sz w:val="18"/>
          <w:szCs w:val="18"/>
        </w:rPr>
      </w:pPr>
      <w:r>
        <w:rPr>
          <w:rFonts w:hint="eastAsia" w:ascii="黑体" w:hAnsi="黑体" w:eastAsia="黑体"/>
          <w:sz w:val="18"/>
          <w:szCs w:val="18"/>
        </w:rPr>
        <w:t>表A.1 事故单位应急救援评估表</w:t>
      </w:r>
    </w:p>
    <w:tbl>
      <w:tblPr>
        <w:tblStyle w:val="13"/>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998"/>
        <w:gridCol w:w="3713"/>
        <w:gridCol w:w="1964"/>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54" w:type="pct"/>
            <w:gridSpan w:val="2"/>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114"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118"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12" w:type="pct"/>
            <w:vAlign w:val="center"/>
          </w:tcPr>
          <w:p>
            <w:pPr>
              <w:keepNext w:val="0"/>
              <w:keepLines w:val="0"/>
              <w:pageBreakBefore w:val="0"/>
              <w:widowControl w:val="0"/>
              <w:kinsoku/>
              <w:wordWrap/>
              <w:overflowPunct/>
              <w:topLinePunct w:val="0"/>
              <w:autoSpaceDE/>
              <w:autoSpaceDN/>
              <w:bidi w:val="0"/>
              <w:adjustRightInd w:val="0"/>
              <w:snapToGrid/>
              <w:spacing w:line="220" w:lineRule="exact"/>
              <w:jc w:val="center"/>
              <w:textAlignment w:val="auto"/>
              <w:rPr>
                <w:rFonts w:hint="eastAsia" w:asciiTheme="minorEastAsia" w:hAnsiTheme="minorEastAsia"/>
                <w:b/>
                <w:sz w:val="18"/>
                <w:szCs w:val="18"/>
              </w:rPr>
            </w:pPr>
            <w:r>
              <w:rPr>
                <w:rFonts w:hint="eastAsia" w:asciiTheme="minorEastAsia" w:hAnsi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20" w:lineRule="exact"/>
              <w:jc w:val="center"/>
              <w:textAlignment w:val="auto"/>
              <w:rPr>
                <w:rFonts w:hint="eastAsia" w:ascii="等线" w:hAnsi="等线" w:eastAsia="等线" w:cs="Times New Roman"/>
                <w:kern w:val="2"/>
                <w:sz w:val="21"/>
                <w:szCs w:val="24"/>
                <w:lang w:val="en-US" w:eastAsia="zh-CN" w:bidi="ar-SA"/>
              </w:rPr>
            </w:pPr>
            <w:r>
              <w:rPr>
                <w:rFonts w:hint="eastAsia" w:asciiTheme="minorEastAsia" w:hAnsiTheme="minorEastAsia"/>
                <w:b/>
                <w:sz w:val="18"/>
                <w:szCs w:val="18"/>
                <w:lang w:val="en-US"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4" w:type="pct"/>
            <w:gridSpan w:val="2"/>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应急准备</w:t>
            </w: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asciiTheme="minorEastAsia" w:hAnsiTheme="minorEastAsia" w:eastAsiaTheme="minorEastAsia"/>
                <w:sz w:val="18"/>
                <w:szCs w:val="18"/>
              </w:rPr>
              <w:t>事故单位按GB/T 29639的要求</w:t>
            </w:r>
            <w:r>
              <w:rPr>
                <w:rFonts w:hint="eastAsia" w:asciiTheme="minorEastAsia" w:hAnsiTheme="minorEastAsia" w:eastAsiaTheme="minorEastAsia"/>
                <w:sz w:val="18"/>
                <w:szCs w:val="18"/>
              </w:rPr>
              <w:t>开展风险辨识评估、</w:t>
            </w:r>
            <w:r>
              <w:rPr>
                <w:rFonts w:asciiTheme="minorEastAsia" w:hAnsiTheme="minorEastAsia" w:eastAsiaTheme="minorEastAsia"/>
                <w:sz w:val="18"/>
                <w:szCs w:val="18"/>
              </w:rPr>
              <w:t>编制应急预案情况，预案是否有针对性和可操作性，预案备案情况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4"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asciiTheme="minorEastAsia" w:hAnsiTheme="minorEastAsia" w:eastAsiaTheme="minorEastAsia"/>
                <w:sz w:val="18"/>
                <w:szCs w:val="18"/>
              </w:rPr>
              <w:t>事故</w:t>
            </w:r>
            <w:r>
              <w:rPr>
                <w:rFonts w:hint="eastAsia" w:asciiTheme="minorEastAsia" w:hAnsiTheme="minorEastAsia" w:eastAsiaTheme="minorEastAsia"/>
                <w:sz w:val="18"/>
                <w:szCs w:val="18"/>
              </w:rPr>
              <w:t>单位按照</w:t>
            </w:r>
            <w:r>
              <w:rPr>
                <w:rFonts w:asciiTheme="minorEastAsia" w:hAnsiTheme="minorEastAsia" w:eastAsiaTheme="minorEastAsia"/>
                <w:sz w:val="18"/>
                <w:szCs w:val="18"/>
              </w:rPr>
              <w:t>AQ/T</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9007</w:t>
            </w:r>
            <w:r>
              <w:rPr>
                <w:rFonts w:hint="eastAsia" w:asciiTheme="minorEastAsia" w:hAnsiTheme="minorEastAsia" w:eastAsiaTheme="minorEastAsia"/>
                <w:sz w:val="18"/>
                <w:szCs w:val="18"/>
              </w:rPr>
              <w:t>要求开展应急演练和按照AQ/T 9009开展演练评估情况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54"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事故单位建立</w:t>
            </w:r>
            <w:r>
              <w:rPr>
                <w:rFonts w:hint="eastAsia" w:asciiTheme="minorEastAsia" w:hAnsiTheme="minorEastAsia" w:eastAsiaTheme="minorEastAsia"/>
                <w:sz w:val="18"/>
                <w:szCs w:val="18"/>
                <w:lang w:eastAsia="zh-CN"/>
              </w:rPr>
              <w:t>专（兼）职</w:t>
            </w:r>
            <w:r>
              <w:rPr>
                <w:rFonts w:hint="eastAsia" w:asciiTheme="minorEastAsia" w:hAnsiTheme="minorEastAsia" w:eastAsiaTheme="minorEastAsia"/>
                <w:sz w:val="18"/>
                <w:szCs w:val="18"/>
              </w:rPr>
              <w:t>应急救援队伍</w:t>
            </w:r>
            <w:r>
              <w:rPr>
                <w:rFonts w:hint="eastAsia" w:asciiTheme="minorEastAsia" w:hAnsiTheme="minorEastAsia" w:eastAsiaTheme="minorEastAsia"/>
                <w:sz w:val="18"/>
                <w:szCs w:val="18"/>
                <w:lang w:eastAsia="zh-CN"/>
              </w:rPr>
              <w:t>（人员）</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eastAsia="zh-CN"/>
              </w:rPr>
              <w:t>按规定配备值班人员</w:t>
            </w:r>
            <w:r>
              <w:rPr>
                <w:rFonts w:hint="eastAsia" w:asciiTheme="minorEastAsia" w:hAnsiTheme="minorEastAsia" w:eastAsiaTheme="minorEastAsia"/>
                <w:sz w:val="18"/>
                <w:szCs w:val="18"/>
              </w:rPr>
              <w:t>和开展应急知识宣传教育培训情况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4"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事故单位应急组织架构、应急</w:t>
            </w:r>
            <w:r>
              <w:rPr>
                <w:rFonts w:hint="eastAsia" w:asciiTheme="minorEastAsia" w:hAnsiTheme="minorEastAsia" w:eastAsiaTheme="minorEastAsia"/>
                <w:sz w:val="18"/>
                <w:szCs w:val="18"/>
                <w:lang w:eastAsia="zh-CN"/>
              </w:rPr>
              <w:t>装备设施与</w:t>
            </w:r>
            <w:r>
              <w:rPr>
                <w:rFonts w:hint="eastAsia" w:asciiTheme="minorEastAsia" w:hAnsiTheme="minorEastAsia" w:eastAsiaTheme="minorEastAsia"/>
                <w:sz w:val="18"/>
                <w:szCs w:val="18"/>
              </w:rPr>
              <w:t>物资保障情况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54" w:type="pct"/>
            <w:gridSpan w:val="2"/>
            <w:vAlign w:val="center"/>
          </w:tcPr>
          <w:p>
            <w:pPr>
              <w:snapToGrid w:val="0"/>
              <w:spacing w:before="156" w:beforeLines="50" w:after="156" w:afterLines="50"/>
              <w:jc w:val="center"/>
              <w:rPr>
                <w:rFonts w:asciiTheme="minorEastAsia" w:hAnsiTheme="minorEastAsia" w:eastAsiaTheme="minorEastAsia"/>
                <w:sz w:val="18"/>
                <w:szCs w:val="18"/>
              </w:rPr>
            </w:pPr>
            <w:r>
              <w:rPr>
                <w:rFonts w:asciiTheme="minorEastAsia" w:hAnsiTheme="minorEastAsia" w:eastAsiaTheme="minorEastAsia"/>
                <w:sz w:val="18"/>
                <w:szCs w:val="18"/>
              </w:rPr>
              <w:t>预警</w:t>
            </w: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事故单位</w:t>
            </w:r>
            <w:r>
              <w:rPr>
                <w:rFonts w:hint="eastAsia" w:asciiTheme="minorEastAsia" w:hAnsiTheme="minorEastAsia" w:eastAsiaTheme="minorEastAsia"/>
                <w:sz w:val="18"/>
                <w:szCs w:val="18"/>
                <w:lang w:eastAsia="zh-CN"/>
              </w:rPr>
              <w:t>安全生产风险监测预警装置或系统发出警报信息情况，以及事故单位针对警情所采取相关措施情况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86" w:type="pct"/>
            <w:vMerge w:val="restart"/>
            <w:vAlign w:val="center"/>
          </w:tcPr>
          <w:p>
            <w:pPr>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应急响应</w:t>
            </w:r>
          </w:p>
        </w:tc>
        <w:tc>
          <w:tcPr>
            <w:tcW w:w="568" w:type="pct"/>
            <w:vMerge w:val="restar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信息</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报送</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事故发生后，事故现场人员按规定报告本单位负责人情况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事故单位按规定报告政府</w:t>
            </w:r>
            <w:r>
              <w:rPr>
                <w:rFonts w:hint="eastAsia" w:asciiTheme="minorEastAsia" w:hAnsiTheme="minorEastAsia" w:eastAsiaTheme="minorEastAsia"/>
                <w:sz w:val="18"/>
                <w:szCs w:val="18"/>
                <w:lang w:eastAsia="zh-CN"/>
              </w:rPr>
              <w:t>相关</w:t>
            </w:r>
            <w:r>
              <w:rPr>
                <w:rFonts w:hint="eastAsia" w:asciiTheme="minorEastAsia" w:hAnsiTheme="minorEastAsia" w:eastAsiaTheme="minorEastAsia"/>
                <w:sz w:val="18"/>
                <w:szCs w:val="18"/>
              </w:rPr>
              <w:t>部门情况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事故单位信息报送的及时、准确、完整情况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restar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先期</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处置</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事故单位启动应急救援预案情况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事故单位迅速采取有效措施控制危险源，组织抢救遇险人员，防止事故危害扩大情况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事故单位组织营救被困人员，疏散、撤离、安置受到威胁的人员情况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事故单位及时通知可能受到事故影响的单位和人员情况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事故单位采取措施防范次生、衍生事故的情况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资料分析、询问谈话、专家论证、现场勘查、技术鉴定</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事故单位请求邻近的应急救援队伍参加救援并支持配合救援队伍情况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维护事故现场秩序，保护事故现场和证据情况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资料分析、现场勘查、技术鉴定</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86" w:type="pct"/>
            <w:vMerge w:val="restart"/>
            <w:vAlign w:val="center"/>
          </w:tcPr>
          <w:p>
            <w:pPr>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配合现场开展救援工作</w:t>
            </w:r>
          </w:p>
        </w:tc>
        <w:tc>
          <w:tcPr>
            <w:tcW w:w="568" w:type="pc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联动</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事故单位积极配合和支持前来救援的队伍开展救援行动情况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restar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现场</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管理</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事故单位采取有效措施维护现场秩序情况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事故单位保护好现场和证据情况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资料分析、询问谈话、现场勘查、技术鉴定</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bl>
    <w:p>
      <w:pPr>
        <w:jc w:val="center"/>
        <w:rPr>
          <w:rFonts w:ascii="黑体" w:hAnsi="黑体" w:eastAsia="黑体"/>
          <w:sz w:val="18"/>
          <w:szCs w:val="18"/>
        </w:rPr>
      </w:pPr>
    </w:p>
    <w:p>
      <w:pPr>
        <w:pStyle w:val="20"/>
        <w:ind w:firstLine="0" w:firstLineChars="0"/>
        <w:jc w:val="center"/>
        <w:rPr>
          <w:sz w:val="18"/>
          <w:szCs w:val="18"/>
        </w:rPr>
      </w:pPr>
      <w:r>
        <w:rPr>
          <w:rFonts w:hint="eastAsia" w:ascii="黑体" w:hAnsi="黑体" w:eastAsia="黑体"/>
          <w:sz w:val="18"/>
          <w:szCs w:val="18"/>
        </w:rPr>
        <w:t>表A.1</w:t>
      </w:r>
      <w:r>
        <w:rPr>
          <w:rFonts w:hint="eastAsia" w:asciiTheme="minorEastAsia" w:hAnsiTheme="minorEastAsia" w:eastAsiaTheme="minorEastAsia"/>
          <w:sz w:val="18"/>
          <w:szCs w:val="18"/>
        </w:rPr>
        <w:t>（续）</w:t>
      </w:r>
    </w:p>
    <w:tbl>
      <w:tblPr>
        <w:tblStyle w:val="13"/>
        <w:tblW w:w="4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3704"/>
        <w:gridCol w:w="1950"/>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97"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066"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088"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46" w:type="pct"/>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asciiTheme="minorEastAsia" w:hAnsiTheme="minorEastAsia" w:eastAsiaTheme="minorEastAsia"/>
                <w:b/>
                <w:sz w:val="18"/>
                <w:szCs w:val="18"/>
              </w:rPr>
            </w:pPr>
            <w:r>
              <w:rPr>
                <w:rFonts w:hint="eastAsia" w:asciiTheme="minorEastAsia" w:hAnsiTheme="minorEastAsia" w:eastAsiaTheme="minorEastAsia"/>
                <w:b/>
                <w:sz w:val="18"/>
                <w:szCs w:val="18"/>
                <w:lang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997"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应急保障</w:t>
            </w:r>
          </w:p>
        </w:tc>
        <w:tc>
          <w:tcPr>
            <w:tcW w:w="2066" w:type="pct"/>
            <w:vAlign w:val="center"/>
          </w:tcPr>
          <w:p>
            <w:pPr>
              <w:pStyle w:val="20"/>
              <w:numPr>
                <w:ilvl w:val="0"/>
                <w:numId w:val="0"/>
              </w:numPr>
              <w:rPr>
                <w:rFonts w:asciiTheme="minorEastAsia" w:hAnsiTheme="minorEastAsia" w:eastAsiaTheme="minorEastAsia"/>
                <w:sz w:val="18"/>
                <w:szCs w:val="18"/>
              </w:rPr>
            </w:pPr>
            <w:r>
              <w:rPr>
                <w:rFonts w:hint="eastAsia" w:cs="Times New Roman" w:asciiTheme="minorEastAsia" w:hAnsiTheme="minorEastAsia" w:eastAsiaTheme="minorEastAsia"/>
                <w:kern w:val="2"/>
                <w:sz w:val="18"/>
                <w:szCs w:val="18"/>
                <w:lang w:val="en-US" w:eastAsia="zh-CN" w:bidi="ar-SA"/>
              </w:rPr>
              <w:t>专业技术保障情况</w:t>
            </w:r>
          </w:p>
        </w:tc>
        <w:tc>
          <w:tcPr>
            <w:tcW w:w="108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46"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7"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6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救援队伍及物资装备保障情况</w:t>
            </w:r>
          </w:p>
        </w:tc>
        <w:tc>
          <w:tcPr>
            <w:tcW w:w="108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46" w:type="pct"/>
            <w:vAlign w:val="center"/>
          </w:tcPr>
          <w:p>
            <w:pPr>
              <w:snapToGrid w:val="0"/>
              <w:spacing w:before="62" w:beforeLines="20" w:after="62" w:afterLines="20"/>
              <w:rPr>
                <w:rFonts w:asciiTheme="minorEastAsia" w:hAnsiTheme="minorEastAsia" w:eastAsiaTheme="minorEastAsia"/>
                <w:sz w:val="18"/>
                <w:szCs w:val="18"/>
              </w:rPr>
            </w:pPr>
          </w:p>
        </w:tc>
      </w:tr>
    </w:tbl>
    <w:p>
      <w:pPr>
        <w:pStyle w:val="20"/>
        <w:ind w:firstLine="199" w:firstLineChars="95"/>
        <w:sectPr>
          <w:pgSz w:w="11906" w:h="16838"/>
          <w:pgMar w:top="1134" w:right="1134" w:bottom="1134" w:left="1134" w:header="1418" w:footer="1134" w:gutter="284"/>
          <w:pgNumType w:fmt="decimal"/>
          <w:cols w:space="720" w:num="1"/>
          <w:formProt w:val="0"/>
          <w:docGrid w:type="lines" w:linePitch="312" w:charSpace="0"/>
        </w:sectPr>
      </w:pPr>
    </w:p>
    <w:p>
      <w:pPr>
        <w:pStyle w:val="20"/>
        <w:ind w:firstLine="360"/>
        <w:jc w:val="center"/>
        <w:rPr>
          <w:rFonts w:ascii="黑体" w:hAnsi="黑体" w:eastAsia="黑体"/>
          <w:sz w:val="18"/>
          <w:szCs w:val="18"/>
        </w:rPr>
      </w:pPr>
      <w:r>
        <w:rPr>
          <w:rFonts w:hint="eastAsia" w:ascii="黑体" w:hAnsi="黑体" w:eastAsia="黑体"/>
          <w:sz w:val="18"/>
          <w:szCs w:val="18"/>
        </w:rPr>
        <w:t>表</w:t>
      </w:r>
      <w:r>
        <w:rPr>
          <w:rFonts w:ascii="黑体" w:hAnsi="黑体" w:eastAsia="黑体"/>
          <w:sz w:val="18"/>
          <w:szCs w:val="18"/>
        </w:rPr>
        <w:t>A.</w:t>
      </w:r>
      <w:r>
        <w:rPr>
          <w:rFonts w:hint="eastAsia" w:ascii="黑体" w:hAnsi="黑体" w:eastAsia="黑体"/>
          <w:sz w:val="18"/>
          <w:szCs w:val="18"/>
        </w:rPr>
        <w:t>2</w:t>
      </w:r>
      <w:r>
        <w:rPr>
          <w:rFonts w:ascii="黑体" w:hAnsi="黑体" w:eastAsia="黑体"/>
          <w:sz w:val="18"/>
          <w:szCs w:val="18"/>
        </w:rPr>
        <w:t xml:space="preserve"> </w:t>
      </w:r>
      <w:r>
        <w:rPr>
          <w:rFonts w:hint="eastAsia" w:ascii="黑体" w:hAnsi="黑体" w:eastAsia="黑体"/>
          <w:sz w:val="18"/>
          <w:szCs w:val="18"/>
        </w:rPr>
        <w:t>事发地人民政府</w:t>
      </w:r>
      <w:r>
        <w:rPr>
          <w:rFonts w:ascii="黑体" w:hAnsi="黑体" w:eastAsia="黑体"/>
          <w:sz w:val="18"/>
          <w:szCs w:val="18"/>
        </w:rPr>
        <w:t>应急救援评估表</w:t>
      </w:r>
    </w:p>
    <w:tbl>
      <w:tblPr>
        <w:tblStyle w:val="13"/>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98"/>
        <w:gridCol w:w="3712"/>
        <w:gridCol w:w="196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72" w:type="pct"/>
            <w:gridSpan w:val="2"/>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092"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106"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28" w:type="pct"/>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asciiTheme="minorEastAsia" w:hAnsiTheme="minorEastAsia" w:eastAsiaTheme="minorEastAsia"/>
                <w:b/>
                <w:sz w:val="18"/>
                <w:szCs w:val="18"/>
              </w:rPr>
            </w:pPr>
            <w:r>
              <w:rPr>
                <w:rFonts w:hint="eastAsia" w:asciiTheme="minorEastAsia" w:hAnsiTheme="minorEastAsia" w:eastAsiaTheme="minorEastAsia"/>
                <w:b/>
                <w:sz w:val="18"/>
                <w:szCs w:val="18"/>
                <w:lang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2" w:type="pct"/>
            <w:gridSpan w:val="2"/>
            <w:vMerge w:val="restart"/>
            <w:vAlign w:val="center"/>
          </w:tcPr>
          <w:p>
            <w:pPr>
              <w:snapToGrid w:val="0"/>
              <w:spacing w:before="62" w:beforeLines="20" w:after="62" w:afterLines="2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应急准备</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人民政府应急组织机构设置、人员编制、职责界定，以及应急救援专家组建立情况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人民政府编制和修订应急预案情况，查看应急预案的针对性、可操作性和要素完整有效情况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人民政府及</w:t>
            </w:r>
            <w:r>
              <w:rPr>
                <w:rFonts w:hint="eastAsia" w:asciiTheme="minorEastAsia" w:hAnsiTheme="minorEastAsia" w:eastAsiaTheme="minorEastAsia"/>
                <w:sz w:val="18"/>
                <w:szCs w:val="18"/>
                <w:lang w:eastAsia="zh-CN"/>
              </w:rPr>
              <w:t>相关</w:t>
            </w:r>
            <w:r>
              <w:rPr>
                <w:rFonts w:hint="eastAsia" w:asciiTheme="minorEastAsia" w:hAnsiTheme="minorEastAsia" w:eastAsiaTheme="minorEastAsia"/>
                <w:sz w:val="18"/>
                <w:szCs w:val="18"/>
              </w:rPr>
              <w:t>部门组织开展应急演练情况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2" w:type="pct"/>
            <w:gridSpan w:val="2"/>
            <w:vMerge w:val="continue"/>
            <w:vAlign w:val="center"/>
          </w:tcPr>
          <w:p>
            <w:pPr>
              <w:pStyle w:val="20"/>
              <w:ind w:left="840" w:firstLine="0" w:firstLineChars="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应急知识宣传教育培训情况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应急值班制度和应急值班人员落实情况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应急救援队伍建设、日常训练情况以及应急救援队伍人员具备必要的专业知识、技能、身体素质和心理素质情况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响应</w:t>
            </w:r>
          </w:p>
        </w:tc>
        <w:tc>
          <w:tcPr>
            <w:tcW w:w="506" w:type="pct"/>
            <w:vMerge w:val="restart"/>
            <w:vAlign w:val="center"/>
          </w:tcPr>
          <w:p>
            <w:pPr>
              <w:snapToGrid w:val="0"/>
              <w:spacing w:before="156" w:beforeLines="50" w:after="156" w:afterLines="50"/>
              <w:rPr>
                <w:rFonts w:asciiTheme="minorEastAsia" w:hAnsiTheme="minorEastAsia" w:eastAsiaTheme="minorEastAsia"/>
                <w:sz w:val="18"/>
                <w:szCs w:val="18"/>
              </w:rPr>
            </w:pPr>
            <w:r>
              <w:rPr>
                <w:rFonts w:hint="eastAsia" w:asciiTheme="minorEastAsia" w:hAnsiTheme="minorEastAsia" w:eastAsiaTheme="minorEastAsia"/>
                <w:sz w:val="18"/>
                <w:szCs w:val="18"/>
              </w:rPr>
              <w:t>信息接收、流转和报送</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事故信息接收的及时性</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上报信息及时性和准确性</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信息报告的内容完整性</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信息在部门间的共享情况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启动响应</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事故发生后，</w:t>
            </w: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人民政府根据研判及时启动</w:t>
            </w:r>
            <w:r>
              <w:rPr>
                <w:rFonts w:hint="eastAsia" w:asciiTheme="minorEastAsia" w:hAnsiTheme="minorEastAsia" w:eastAsiaTheme="minorEastAsia"/>
                <w:sz w:val="18"/>
                <w:szCs w:val="18"/>
                <w:lang w:eastAsia="zh-CN"/>
              </w:rPr>
              <w:t>相应</w:t>
            </w:r>
            <w:r>
              <w:rPr>
                <w:rFonts w:hint="eastAsia" w:asciiTheme="minorEastAsia" w:hAnsiTheme="minorEastAsia" w:eastAsiaTheme="minorEastAsia"/>
                <w:sz w:val="18"/>
                <w:szCs w:val="18"/>
              </w:rPr>
              <w:t>级别的应急响应情况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处置</w:t>
            </w:r>
          </w:p>
        </w:tc>
        <w:tc>
          <w:tcPr>
            <w:tcW w:w="50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现场指挥</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按照法律法规和预案要求，成立现场指挥部情况及指挥场所情况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现场指挥部下设工作组情况、各工作组的分工及协同救援情况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现场指挥部对事故现场有效传达指令，进行有效管控情况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资料分析、询问谈话、专家论证、技术鉴定</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现场指挥部抢险救援方案的制定以及应急救援队伍落实方案情况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现场管理、交通管制、医疗卫生、环境监测、舆情引导工作协调联动情况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应急救援队伍和装备资源调动</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向应急救援队伍下达救援命令情况</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rPr>
              <w:t>有效调动应急救援队伍情况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调用和征用应急资源、物资装备情况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应急救援队伍救援物资装备使用情况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bl>
    <w:p>
      <w:pPr>
        <w:pStyle w:val="20"/>
        <w:ind w:firstLine="0" w:firstLineChars="0"/>
      </w:pPr>
    </w:p>
    <w:p>
      <w:pPr>
        <w:pStyle w:val="20"/>
        <w:ind w:firstLine="0" w:firstLineChars="0"/>
        <w:jc w:val="center"/>
        <w:rPr>
          <w:rFonts w:hint="eastAsia" w:ascii="黑体" w:hAnsi="黑体" w:eastAsia="黑体"/>
          <w:sz w:val="18"/>
          <w:szCs w:val="18"/>
        </w:rPr>
      </w:pPr>
    </w:p>
    <w:p>
      <w:pPr>
        <w:pStyle w:val="20"/>
        <w:ind w:firstLine="0" w:firstLineChars="0"/>
        <w:jc w:val="center"/>
        <w:rPr>
          <w:rFonts w:hint="eastAsia" w:ascii="黑体" w:hAnsi="黑体" w:eastAsia="黑体"/>
          <w:sz w:val="18"/>
          <w:szCs w:val="18"/>
        </w:rPr>
      </w:pPr>
    </w:p>
    <w:p>
      <w:pPr>
        <w:pStyle w:val="20"/>
        <w:ind w:firstLine="0" w:firstLineChars="0"/>
        <w:jc w:val="center"/>
        <w:rPr>
          <w:sz w:val="18"/>
          <w:szCs w:val="18"/>
        </w:rPr>
      </w:pPr>
      <w:r>
        <w:rPr>
          <w:rFonts w:hint="eastAsia" w:ascii="黑体" w:hAnsi="黑体" w:eastAsia="黑体"/>
          <w:sz w:val="18"/>
          <w:szCs w:val="18"/>
        </w:rPr>
        <w:t>表A.2</w:t>
      </w:r>
      <w:r>
        <w:rPr>
          <w:rFonts w:hint="eastAsia"/>
          <w:sz w:val="18"/>
          <w:szCs w:val="18"/>
        </w:rPr>
        <w:t>（续）</w:t>
      </w:r>
    </w:p>
    <w:tbl>
      <w:tblPr>
        <w:tblStyle w:val="13"/>
        <w:tblW w:w="4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894"/>
        <w:gridCol w:w="3713"/>
        <w:gridCol w:w="1936"/>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05" w:type="pct"/>
            <w:gridSpan w:val="2"/>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077"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083"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33" w:type="pct"/>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asciiTheme="minorEastAsia" w:hAnsiTheme="minorEastAsia" w:eastAsiaTheme="minorEastAsia"/>
                <w:b/>
                <w:sz w:val="18"/>
                <w:szCs w:val="18"/>
              </w:rPr>
            </w:pPr>
            <w:r>
              <w:rPr>
                <w:rFonts w:hint="eastAsia" w:asciiTheme="minorEastAsia" w:hAnsiTheme="minorEastAsia" w:eastAsiaTheme="minorEastAsia"/>
                <w:b/>
                <w:sz w:val="18"/>
                <w:szCs w:val="18"/>
                <w:lang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05"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处置</w:t>
            </w:r>
          </w:p>
          <w:p>
            <w:pPr>
              <w:pStyle w:val="2"/>
            </w:pPr>
          </w:p>
        </w:tc>
        <w:tc>
          <w:tcPr>
            <w:tcW w:w="500"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医疗救治和善后处置</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组织抢救遇险人员，救治受伤人员，伤亡人员家属安抚，以及社会稳定情况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通知可能受到事故影响的单位和人员避险安置情况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防止事故危害扩大和防控环境影响的措施</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采取有效措施防止事故危害扩大和防范次生、衍生事故情况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采取必要的措施减少事故对环境造成的危害情况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有效研判事故发展趋势以及可能造成的危害情况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询问谈话、专家论证、技术鉴定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现场秩序维护</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按照要求隔离事故现场，划定警戒区域，有效维护现场秩序情况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资料分析、专家论证、技术鉴定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及时疏散和安置事故可能影响的人员情况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对现场周边及有关区域实行交通管制情况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Align w:val="center"/>
          </w:tcPr>
          <w:p>
            <w:pPr>
              <w:snapToGrid w:val="0"/>
              <w:spacing w:before="156" w:beforeLines="50" w:after="156" w:afterLines="50"/>
              <w:jc w:val="center"/>
              <w:rPr>
                <w:rFonts w:asciiTheme="minorEastAsia" w:hAnsiTheme="minorEastAsia" w:eastAsiaTheme="minorEastAsia"/>
                <w:sz w:val="18"/>
                <w:szCs w:val="18"/>
              </w:rPr>
            </w:pPr>
            <w:r>
              <w:rPr>
                <w:rFonts w:asciiTheme="minorEastAsia" w:hAnsiTheme="minorEastAsia" w:eastAsiaTheme="minorEastAsia"/>
                <w:sz w:val="18"/>
                <w:szCs w:val="18"/>
              </w:rPr>
              <w:t>信息发布</w:t>
            </w:r>
            <w:r>
              <w:rPr>
                <w:rFonts w:hint="eastAsia" w:asciiTheme="minorEastAsia" w:hAnsiTheme="minorEastAsia" w:eastAsiaTheme="minorEastAsia"/>
                <w:sz w:val="18"/>
                <w:szCs w:val="18"/>
              </w:rPr>
              <w:t>与舆情引导</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有关事故情况和应急救援工作信息发布的及时性，以及舆情引导的有效性</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5" w:type="pct"/>
            <w:gridSpan w:val="2"/>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应急保障</w:t>
            </w:r>
          </w:p>
        </w:tc>
        <w:tc>
          <w:tcPr>
            <w:tcW w:w="2077" w:type="pct"/>
            <w:vAlign w:val="center"/>
          </w:tcPr>
          <w:p>
            <w:pPr>
              <w:pStyle w:val="20"/>
              <w:numPr>
                <w:ilvl w:val="0"/>
                <w:numId w:val="0"/>
              </w:numPr>
              <w:rPr>
                <w:rFonts w:asciiTheme="minorEastAsia" w:hAnsiTheme="minorEastAsia" w:eastAsiaTheme="minorEastAsia"/>
                <w:sz w:val="18"/>
                <w:szCs w:val="18"/>
              </w:rPr>
            </w:pPr>
            <w:r>
              <w:rPr>
                <w:rFonts w:hint="eastAsia" w:cs="Times New Roman" w:asciiTheme="minorEastAsia" w:hAnsiTheme="minorEastAsia" w:eastAsiaTheme="minorEastAsia"/>
                <w:kern w:val="2"/>
                <w:sz w:val="18"/>
                <w:szCs w:val="18"/>
                <w:lang w:val="en-US" w:eastAsia="zh-CN" w:bidi="ar-SA"/>
              </w:rPr>
              <w:t>专业技术保障情况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5"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pStyle w:val="20"/>
              <w:numPr>
                <w:ilvl w:val="0"/>
                <w:numId w:val="0"/>
              </w:numPr>
            </w:pPr>
            <w:r>
              <w:rPr>
                <w:rFonts w:hint="eastAsia" w:cs="Times New Roman" w:asciiTheme="minorEastAsia" w:hAnsiTheme="minorEastAsia" w:eastAsiaTheme="minorEastAsia"/>
                <w:kern w:val="2"/>
                <w:sz w:val="18"/>
                <w:szCs w:val="18"/>
                <w:lang w:val="en-US" w:eastAsia="zh-CN" w:bidi="ar-SA"/>
              </w:rPr>
              <w:t>救援队伍及物资装备保障情况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5"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公安、卫健、电力、通信、供水、燃气、气象、城管、交通部门救援力量及物资装备保障情况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bl>
    <w:p>
      <w:pPr>
        <w:pStyle w:val="20"/>
        <w:ind w:firstLine="0" w:firstLineChars="0"/>
        <w:sectPr>
          <w:pgSz w:w="11906" w:h="16838"/>
          <w:pgMar w:top="1134" w:right="1134" w:bottom="1134" w:left="1134" w:header="1418" w:footer="1134" w:gutter="284"/>
          <w:pgNumType w:fmt="decimal"/>
          <w:cols w:space="720" w:num="1"/>
          <w:formProt w:val="0"/>
          <w:docGrid w:type="lines" w:linePitch="312" w:charSpace="0"/>
        </w:sectPr>
      </w:pPr>
    </w:p>
    <w:p>
      <w:pPr>
        <w:pStyle w:val="47"/>
        <w:numPr>
          <w:ilvl w:val="0"/>
          <w:numId w:val="23"/>
        </w:numPr>
        <w:ind w:firstLine="0"/>
        <w:rPr>
          <w:vanish w:val="0"/>
        </w:rPr>
      </w:pPr>
    </w:p>
    <w:p>
      <w:pPr>
        <w:pStyle w:val="44"/>
        <w:numPr>
          <w:ilvl w:val="0"/>
          <w:numId w:val="1"/>
        </w:numPr>
        <w:ind w:firstLine="0"/>
        <w:rPr>
          <w:vanish w:val="0"/>
        </w:rPr>
      </w:pPr>
    </w:p>
    <w:p>
      <w:pPr>
        <w:pStyle w:val="32"/>
        <w:keepNext w:val="0"/>
        <w:keepLines w:val="0"/>
        <w:pageBreakBefore w:val="0"/>
        <w:widowControl/>
        <w:numPr>
          <w:ilvl w:val="0"/>
          <w:numId w:val="4"/>
        </w:numPr>
        <w:kinsoku/>
        <w:wordWrap/>
        <w:overflowPunct/>
        <w:topLinePunct w:val="0"/>
        <w:autoSpaceDE/>
        <w:autoSpaceDN/>
        <w:bidi w:val="0"/>
        <w:adjustRightInd/>
        <w:snapToGrid/>
        <w:spacing w:before="78" w:after="156"/>
        <w:ind w:left="0"/>
        <w:textAlignment w:val="auto"/>
      </w:pPr>
      <w:r>
        <w:br w:type="textWrapping"/>
      </w:r>
      <w:bookmarkStart w:id="181" w:name="_Toc118880742"/>
      <w:bookmarkStart w:id="182" w:name="_Toc118880432"/>
      <w:r>
        <w:rPr>
          <w:rFonts w:hint="eastAsia"/>
        </w:rPr>
        <w:t>（资料性）</w:t>
      </w:r>
      <w:r>
        <w:br w:type="textWrapping"/>
      </w:r>
      <w:r>
        <w:rPr>
          <w:rFonts w:hint="eastAsia"/>
        </w:rPr>
        <w:t>生产安全事故应急救援评估报告大纲</w:t>
      </w:r>
      <w:bookmarkEnd w:id="181"/>
      <w:bookmarkEnd w:id="182"/>
    </w:p>
    <w:p>
      <w:pPr>
        <w:pStyle w:val="35"/>
        <w:numPr>
          <w:ilvl w:val="1"/>
          <w:numId w:val="4"/>
        </w:numPr>
        <w:snapToGrid w:val="0"/>
        <w:spacing w:before="156" w:afterLines="0"/>
        <w:ind w:left="0"/>
      </w:pPr>
      <w:bookmarkStart w:id="183" w:name="_Toc118880434"/>
      <w:bookmarkStart w:id="184" w:name="_Toc118880744"/>
      <w:r>
        <w:rPr>
          <w:rFonts w:hint="eastAsia"/>
        </w:rPr>
        <w:t>应急救援基本情况</w:t>
      </w:r>
      <w:bookmarkEnd w:id="183"/>
      <w:bookmarkEnd w:id="184"/>
    </w:p>
    <w:p>
      <w:pPr>
        <w:pStyle w:val="36"/>
        <w:numPr>
          <w:ilvl w:val="2"/>
          <w:numId w:val="4"/>
        </w:numPr>
        <w:wordWrap/>
        <w:spacing w:beforeLines="0" w:afterLines="0"/>
        <w:ind w:left="0"/>
        <w:rPr>
          <w:rFonts w:ascii="宋体" w:hAnsi="宋体" w:eastAsia="宋体"/>
        </w:rPr>
      </w:pPr>
      <w:r>
        <w:rPr>
          <w:rFonts w:hint="eastAsia" w:ascii="宋体" w:hAnsi="宋体" w:eastAsia="宋体"/>
        </w:rPr>
        <w:t>事故企业（单位）情况</w:t>
      </w:r>
    </w:p>
    <w:p>
      <w:pPr>
        <w:pStyle w:val="36"/>
        <w:numPr>
          <w:ilvl w:val="2"/>
          <w:numId w:val="4"/>
        </w:numPr>
        <w:wordWrap/>
        <w:spacing w:beforeLines="0" w:afterLines="0"/>
        <w:ind w:left="0"/>
        <w:rPr>
          <w:rFonts w:ascii="宋体" w:hAnsi="宋体" w:eastAsia="宋体"/>
        </w:rPr>
      </w:pPr>
      <w:r>
        <w:rPr>
          <w:rFonts w:hint="eastAsia" w:ascii="宋体" w:hAnsi="宋体" w:eastAsia="宋体"/>
        </w:rPr>
        <w:t>事故发生简要经过</w:t>
      </w:r>
    </w:p>
    <w:p>
      <w:pPr>
        <w:pStyle w:val="36"/>
        <w:numPr>
          <w:ilvl w:val="2"/>
          <w:numId w:val="4"/>
        </w:numPr>
        <w:wordWrap/>
        <w:spacing w:beforeLines="0" w:afterLines="0"/>
        <w:ind w:left="0"/>
      </w:pPr>
      <w:r>
        <w:rPr>
          <w:rFonts w:hint="eastAsia" w:ascii="宋体" w:hAnsi="宋体" w:eastAsia="宋体"/>
        </w:rPr>
        <w:t>事故应急处置概况</w:t>
      </w:r>
    </w:p>
    <w:p>
      <w:pPr>
        <w:pStyle w:val="35"/>
        <w:numPr>
          <w:ilvl w:val="1"/>
          <w:numId w:val="4"/>
        </w:numPr>
        <w:snapToGrid w:val="0"/>
        <w:spacing w:before="156" w:afterLines="0"/>
        <w:ind w:left="0"/>
      </w:pPr>
      <w:r>
        <w:rPr>
          <w:rFonts w:hint="eastAsia"/>
        </w:rPr>
        <w:t>应急准备情况</w:t>
      </w:r>
    </w:p>
    <w:p>
      <w:pPr>
        <w:pStyle w:val="36"/>
        <w:numPr>
          <w:ilvl w:val="2"/>
          <w:numId w:val="4"/>
        </w:numPr>
        <w:wordWrap/>
        <w:spacing w:beforeLines="0" w:afterLines="0"/>
        <w:ind w:left="0"/>
        <w:rPr>
          <w:rFonts w:ascii="宋体" w:hAnsi="宋体" w:eastAsia="宋体"/>
        </w:rPr>
      </w:pPr>
      <w:r>
        <w:rPr>
          <w:rFonts w:hint="eastAsia" w:ascii="宋体" w:hAnsi="宋体" w:eastAsia="宋体"/>
        </w:rPr>
        <w:t>事故单位应急准备情况</w:t>
      </w:r>
    </w:p>
    <w:p>
      <w:pPr>
        <w:pStyle w:val="36"/>
        <w:numPr>
          <w:ilvl w:val="2"/>
          <w:numId w:val="4"/>
        </w:numPr>
        <w:wordWrap/>
        <w:spacing w:beforeLines="0" w:afterLines="0"/>
        <w:ind w:left="0"/>
      </w:pPr>
      <w:r>
        <w:rPr>
          <w:rFonts w:hint="eastAsia" w:ascii="宋体" w:hAnsi="宋体" w:eastAsia="宋体"/>
          <w:lang w:eastAsia="zh-CN"/>
        </w:rPr>
        <w:t>事发地</w:t>
      </w:r>
      <w:r>
        <w:rPr>
          <w:rFonts w:hint="eastAsia" w:ascii="宋体" w:hAnsi="宋体" w:eastAsia="宋体"/>
        </w:rPr>
        <w:t>人民政府及</w:t>
      </w:r>
      <w:r>
        <w:rPr>
          <w:rFonts w:hint="eastAsia" w:ascii="宋体" w:hAnsi="宋体" w:eastAsia="宋体"/>
          <w:lang w:eastAsia="zh-CN"/>
        </w:rPr>
        <w:t>相关</w:t>
      </w:r>
      <w:r>
        <w:rPr>
          <w:rFonts w:hint="eastAsia" w:ascii="宋体" w:hAnsi="宋体" w:eastAsia="宋体"/>
        </w:rPr>
        <w:t>部门应急准备情况</w:t>
      </w:r>
    </w:p>
    <w:p>
      <w:pPr>
        <w:pStyle w:val="35"/>
        <w:numPr>
          <w:ilvl w:val="1"/>
          <w:numId w:val="4"/>
        </w:numPr>
        <w:snapToGrid w:val="0"/>
        <w:spacing w:before="156" w:afterLines="0"/>
        <w:ind w:left="0"/>
        <w:rPr>
          <w:rFonts w:hint="eastAsia" w:ascii="宋体" w:hAnsi="宋体" w:eastAsia="宋体"/>
        </w:rPr>
      </w:pPr>
      <w:r>
        <w:rPr>
          <w:rFonts w:hint="eastAsia"/>
        </w:rPr>
        <w:t>预警情况</w:t>
      </w:r>
    </w:p>
    <w:p>
      <w:pPr>
        <w:pStyle w:val="35"/>
        <w:keepNext w:val="0"/>
        <w:keepLines w:val="0"/>
        <w:pageBreakBefore w:val="0"/>
        <w:widowControl w:val="0"/>
        <w:numPr>
          <w:ilvl w:val="1"/>
          <w:numId w:val="0"/>
        </w:numPr>
        <w:kinsoku/>
        <w:wordWrap/>
        <w:overflowPunct/>
        <w:topLinePunct w:val="0"/>
        <w:autoSpaceDE/>
        <w:autoSpaceDN/>
        <w:bidi w:val="0"/>
        <w:adjustRightInd/>
        <w:snapToGrid w:val="0"/>
        <w:spacing w:beforeLines="0" w:afterLines="0"/>
        <w:ind w:leftChars="0" w:firstLine="420" w:firstLineChars="200"/>
        <w:textAlignment w:val="auto"/>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事故单位在事故发生前预警情况</w:t>
      </w:r>
    </w:p>
    <w:p>
      <w:pPr>
        <w:pStyle w:val="35"/>
        <w:numPr>
          <w:ilvl w:val="1"/>
          <w:numId w:val="4"/>
        </w:numPr>
        <w:snapToGrid w:val="0"/>
        <w:spacing w:before="156" w:afterLines="0"/>
        <w:ind w:left="0"/>
      </w:pPr>
      <w:r>
        <w:rPr>
          <w:rFonts w:hint="eastAsia"/>
        </w:rPr>
        <w:t>应急处置过程</w:t>
      </w:r>
    </w:p>
    <w:p>
      <w:pPr>
        <w:pStyle w:val="36"/>
        <w:numPr>
          <w:ilvl w:val="2"/>
          <w:numId w:val="4"/>
        </w:numPr>
        <w:wordWrap/>
        <w:spacing w:beforeLines="0" w:afterLines="0"/>
        <w:ind w:left="0"/>
        <w:rPr>
          <w:rFonts w:ascii="宋体" w:hAnsi="宋体" w:eastAsia="宋体"/>
        </w:rPr>
      </w:pPr>
      <w:r>
        <w:rPr>
          <w:rFonts w:hint="eastAsia" w:ascii="宋体" w:hAnsi="宋体" w:eastAsia="宋体"/>
        </w:rPr>
        <w:t>信息接报</w:t>
      </w:r>
      <w:bookmarkStart w:id="212" w:name="_GoBack"/>
      <w:bookmarkEnd w:id="212"/>
    </w:p>
    <w:p>
      <w:pPr>
        <w:pStyle w:val="36"/>
        <w:numPr>
          <w:ilvl w:val="2"/>
          <w:numId w:val="4"/>
        </w:numPr>
        <w:wordWrap/>
        <w:spacing w:beforeLines="0" w:afterLines="0"/>
        <w:ind w:left="0"/>
        <w:rPr>
          <w:rFonts w:ascii="宋体" w:hAnsi="宋体" w:eastAsia="宋体"/>
        </w:rPr>
      </w:pPr>
      <w:r>
        <w:rPr>
          <w:rFonts w:hint="eastAsia" w:ascii="宋体" w:hAnsi="宋体" w:eastAsia="宋体"/>
        </w:rPr>
        <w:t>企业先期处置</w:t>
      </w:r>
    </w:p>
    <w:p>
      <w:pPr>
        <w:pStyle w:val="36"/>
        <w:numPr>
          <w:ilvl w:val="2"/>
          <w:numId w:val="4"/>
        </w:numPr>
        <w:wordWrap/>
        <w:spacing w:beforeLines="0" w:afterLines="0"/>
        <w:ind w:left="0"/>
        <w:rPr>
          <w:rFonts w:ascii="宋体" w:hAnsi="宋体" w:eastAsia="宋体"/>
        </w:rPr>
      </w:pPr>
      <w:r>
        <w:rPr>
          <w:rFonts w:hint="eastAsia" w:ascii="宋体" w:hAnsi="宋体" w:eastAsia="宋体"/>
          <w:lang w:eastAsia="zh-CN"/>
        </w:rPr>
        <w:t>事发地</w:t>
      </w:r>
      <w:r>
        <w:rPr>
          <w:rFonts w:hint="eastAsia" w:ascii="宋体" w:hAnsi="宋体" w:eastAsia="宋体"/>
        </w:rPr>
        <w:t>人民政府及</w:t>
      </w:r>
      <w:r>
        <w:rPr>
          <w:rFonts w:hint="eastAsia" w:ascii="宋体" w:hAnsi="宋体" w:eastAsia="宋体"/>
          <w:lang w:eastAsia="zh-CN"/>
        </w:rPr>
        <w:t>相关</w:t>
      </w:r>
      <w:r>
        <w:rPr>
          <w:rFonts w:hint="eastAsia" w:ascii="宋体" w:hAnsi="宋体" w:eastAsia="宋体"/>
        </w:rPr>
        <w:t>部门应急响应</w:t>
      </w:r>
    </w:p>
    <w:p>
      <w:pPr>
        <w:pStyle w:val="36"/>
        <w:numPr>
          <w:ilvl w:val="2"/>
          <w:numId w:val="4"/>
        </w:numPr>
        <w:wordWrap/>
        <w:spacing w:beforeLines="0" w:afterLines="0"/>
        <w:ind w:left="0"/>
        <w:rPr>
          <w:rFonts w:ascii="宋体" w:hAnsi="宋体" w:eastAsia="宋体"/>
        </w:rPr>
      </w:pPr>
      <w:r>
        <w:rPr>
          <w:rFonts w:hint="eastAsia" w:ascii="宋体" w:hAnsi="宋体" w:eastAsia="宋体"/>
        </w:rPr>
        <w:t>组织指挥</w:t>
      </w:r>
    </w:p>
    <w:p>
      <w:pPr>
        <w:pStyle w:val="36"/>
        <w:numPr>
          <w:ilvl w:val="2"/>
          <w:numId w:val="4"/>
        </w:numPr>
        <w:wordWrap/>
        <w:spacing w:beforeLines="0" w:afterLines="0"/>
        <w:ind w:left="0"/>
        <w:rPr>
          <w:rFonts w:ascii="宋体" w:hAnsi="宋体" w:eastAsia="宋体"/>
        </w:rPr>
      </w:pPr>
      <w:r>
        <w:rPr>
          <w:rFonts w:hint="eastAsia" w:ascii="宋体" w:hAnsi="宋体" w:eastAsia="宋体"/>
        </w:rPr>
        <w:t>处置主要过程</w:t>
      </w:r>
    </w:p>
    <w:p>
      <w:pPr>
        <w:pStyle w:val="36"/>
        <w:numPr>
          <w:ilvl w:val="2"/>
          <w:numId w:val="4"/>
        </w:numPr>
        <w:wordWrap/>
        <w:spacing w:beforeLines="0" w:afterLines="0"/>
        <w:ind w:left="0"/>
        <w:rPr>
          <w:rFonts w:ascii="宋体" w:hAnsi="宋体" w:eastAsia="宋体"/>
        </w:rPr>
      </w:pPr>
      <w:bookmarkStart w:id="185" w:name="_Toc61420147"/>
      <w:bookmarkStart w:id="186" w:name="_Toc74217090"/>
      <w:bookmarkStart w:id="187" w:name="_Toc81406864"/>
      <w:bookmarkStart w:id="188" w:name="_Toc80869781"/>
      <w:bookmarkStart w:id="189" w:name="_Toc118880746"/>
      <w:bookmarkStart w:id="190" w:name="_Toc118880436"/>
      <w:bookmarkStart w:id="191" w:name="_Toc80692194"/>
      <w:bookmarkStart w:id="192" w:name="_Toc69116548"/>
      <w:bookmarkStart w:id="193" w:name="_Toc74216879"/>
      <w:r>
        <w:rPr>
          <w:rFonts w:hint="eastAsia" w:ascii="宋体" w:hAnsi="宋体" w:eastAsia="宋体"/>
        </w:rPr>
        <w:t>人员伤亡情况</w:t>
      </w:r>
    </w:p>
    <w:p>
      <w:pPr>
        <w:pStyle w:val="36"/>
        <w:numPr>
          <w:ilvl w:val="2"/>
          <w:numId w:val="4"/>
        </w:numPr>
        <w:wordWrap/>
        <w:spacing w:beforeLines="0" w:afterLines="0"/>
        <w:ind w:left="0"/>
        <w:rPr>
          <w:rFonts w:ascii="宋体" w:hAnsi="宋体" w:eastAsia="宋体"/>
        </w:rPr>
      </w:pPr>
      <w:r>
        <w:rPr>
          <w:rFonts w:hint="eastAsia" w:ascii="宋体" w:hAnsi="宋体" w:eastAsia="宋体"/>
        </w:rPr>
        <w:t>信息发布和舆情引导</w:t>
      </w:r>
    </w:p>
    <w:p>
      <w:pPr>
        <w:pStyle w:val="36"/>
        <w:numPr>
          <w:ilvl w:val="2"/>
          <w:numId w:val="4"/>
        </w:numPr>
        <w:wordWrap/>
        <w:spacing w:beforeLines="0" w:afterLines="0"/>
        <w:ind w:left="0"/>
        <w:rPr>
          <w:rFonts w:ascii="宋体" w:hAnsi="宋体" w:eastAsia="宋体"/>
        </w:rPr>
      </w:pPr>
      <w:r>
        <w:rPr>
          <w:rFonts w:hint="eastAsia" w:ascii="宋体" w:hAnsi="宋体" w:eastAsia="宋体"/>
        </w:rPr>
        <w:t>善后处置</w:t>
      </w:r>
    </w:p>
    <w:p>
      <w:pPr>
        <w:pStyle w:val="35"/>
        <w:numPr>
          <w:ilvl w:val="1"/>
          <w:numId w:val="4"/>
        </w:numPr>
        <w:snapToGrid w:val="0"/>
        <w:spacing w:before="156" w:afterLines="0"/>
        <w:ind w:left="0"/>
      </w:pPr>
      <w:r>
        <w:rPr>
          <w:rFonts w:hint="eastAsia"/>
        </w:rPr>
        <w:t>应急保障情况</w:t>
      </w:r>
      <w:bookmarkEnd w:id="185"/>
      <w:bookmarkEnd w:id="186"/>
      <w:bookmarkEnd w:id="187"/>
      <w:bookmarkEnd w:id="188"/>
      <w:bookmarkEnd w:id="189"/>
      <w:bookmarkEnd w:id="190"/>
      <w:bookmarkEnd w:id="191"/>
      <w:bookmarkEnd w:id="192"/>
      <w:bookmarkEnd w:id="193"/>
    </w:p>
    <w:p>
      <w:pPr>
        <w:pStyle w:val="36"/>
        <w:numPr>
          <w:ilvl w:val="2"/>
          <w:numId w:val="4"/>
        </w:numPr>
        <w:wordWrap/>
        <w:spacing w:beforeLines="0" w:afterLines="0"/>
        <w:ind w:left="0"/>
        <w:rPr>
          <w:rFonts w:ascii="宋体" w:hAnsi="宋体" w:eastAsia="宋体"/>
        </w:rPr>
      </w:pPr>
      <w:r>
        <w:rPr>
          <w:rFonts w:hint="eastAsia" w:ascii="宋体" w:hAnsi="宋体" w:eastAsia="宋体"/>
        </w:rPr>
        <w:t>专业技术保障</w:t>
      </w:r>
    </w:p>
    <w:p>
      <w:pPr>
        <w:pStyle w:val="36"/>
        <w:numPr>
          <w:ilvl w:val="2"/>
          <w:numId w:val="4"/>
        </w:numPr>
        <w:wordWrap/>
        <w:spacing w:beforeLines="0" w:afterLines="0"/>
        <w:ind w:left="0"/>
        <w:rPr>
          <w:rFonts w:ascii="宋体" w:hAnsi="宋体" w:eastAsia="宋体"/>
        </w:rPr>
      </w:pPr>
      <w:r>
        <w:rPr>
          <w:rFonts w:hint="eastAsia" w:ascii="宋体" w:hAnsi="宋体" w:eastAsia="宋体"/>
        </w:rPr>
        <w:t>救援队伍及物资装备保障</w:t>
      </w:r>
    </w:p>
    <w:p>
      <w:pPr>
        <w:pStyle w:val="36"/>
        <w:numPr>
          <w:ilvl w:val="2"/>
          <w:numId w:val="4"/>
        </w:numPr>
        <w:spacing w:beforeLines="0" w:afterLines="0"/>
        <w:ind w:left="0"/>
        <w:rPr>
          <w:rFonts w:hAnsi="宋体"/>
        </w:rPr>
      </w:pPr>
      <w:r>
        <w:rPr>
          <w:rFonts w:hint="eastAsia" w:ascii="宋体" w:hAnsi="宋体" w:eastAsia="宋体"/>
        </w:rPr>
        <w:t>公安、卫健、电力、通信、供水、燃气、气象、城管、交通</w:t>
      </w:r>
      <w:r>
        <w:rPr>
          <w:rFonts w:hint="eastAsia" w:ascii="宋体" w:hAnsi="宋体" w:eastAsia="宋体"/>
          <w:lang w:eastAsia="zh-CN"/>
        </w:rPr>
        <w:t>部门</w:t>
      </w:r>
      <w:r>
        <w:rPr>
          <w:rFonts w:hint="eastAsia" w:ascii="宋体" w:hAnsi="宋体" w:eastAsia="宋体"/>
        </w:rPr>
        <w:t>救援力量及物资装备保障</w:t>
      </w:r>
    </w:p>
    <w:p>
      <w:pPr>
        <w:pStyle w:val="35"/>
        <w:numPr>
          <w:ilvl w:val="1"/>
          <w:numId w:val="4"/>
        </w:numPr>
        <w:snapToGrid w:val="0"/>
        <w:spacing w:before="156" w:afterLines="0"/>
        <w:ind w:left="0"/>
        <w:rPr>
          <w:rFonts w:hint="eastAsia" w:ascii="宋体" w:hAnsi="Times New Roman" w:eastAsia="宋体" w:cs="Times New Roman"/>
          <w:kern w:val="0"/>
          <w:sz w:val="21"/>
          <w:lang w:val="en-US" w:eastAsia="zh-CN" w:bidi="ar-SA"/>
        </w:rPr>
      </w:pPr>
      <w:bookmarkStart w:id="194" w:name="_Toc81406866"/>
      <w:bookmarkStart w:id="195" w:name="_Toc80692196"/>
      <w:bookmarkStart w:id="196" w:name="_Toc74217092"/>
      <w:bookmarkStart w:id="197" w:name="_Toc118880747"/>
      <w:bookmarkStart w:id="198" w:name="_Toc80869783"/>
      <w:bookmarkStart w:id="199" w:name="_Toc118880437"/>
      <w:bookmarkStart w:id="200" w:name="_Toc61420149"/>
      <w:bookmarkStart w:id="201" w:name="_Toc69116550"/>
      <w:bookmarkStart w:id="202" w:name="_Toc74216881"/>
      <w:r>
        <w:rPr>
          <w:rFonts w:hint="eastAsia"/>
          <w:lang w:eastAsia="zh-CN"/>
        </w:rPr>
        <w:t>事故特点及救援难点</w:t>
      </w:r>
    </w:p>
    <w:p>
      <w:pPr>
        <w:pStyle w:val="20"/>
        <w:ind w:firstLine="420"/>
        <w:rPr>
          <w:rFonts w:hint="eastAsia"/>
          <w:lang w:val="en-US" w:eastAsia="zh-CN"/>
        </w:rPr>
      </w:pPr>
      <w:r>
        <w:rPr>
          <w:rFonts w:hint="eastAsia"/>
          <w:lang w:val="en-US" w:eastAsia="zh-CN"/>
        </w:rPr>
        <w:t>系统总结事故特点，分析救援过程中存在的难点</w:t>
      </w:r>
    </w:p>
    <w:p>
      <w:pPr>
        <w:pStyle w:val="35"/>
        <w:numPr>
          <w:ilvl w:val="1"/>
          <w:numId w:val="4"/>
        </w:numPr>
        <w:snapToGrid w:val="0"/>
        <w:spacing w:before="156" w:afterLines="0"/>
        <w:ind w:left="0"/>
      </w:pPr>
      <w:r>
        <w:rPr>
          <w:rFonts w:hint="eastAsia"/>
        </w:rPr>
        <w:t>应急救援评估</w:t>
      </w:r>
      <w:bookmarkEnd w:id="194"/>
      <w:bookmarkEnd w:id="195"/>
      <w:bookmarkEnd w:id="196"/>
      <w:bookmarkEnd w:id="197"/>
      <w:bookmarkEnd w:id="198"/>
      <w:bookmarkEnd w:id="199"/>
      <w:bookmarkEnd w:id="200"/>
      <w:bookmarkEnd w:id="201"/>
      <w:bookmarkEnd w:id="202"/>
      <w:r>
        <w:rPr>
          <w:rFonts w:hint="eastAsia"/>
        </w:rPr>
        <w:t>意见</w:t>
      </w:r>
    </w:p>
    <w:p>
      <w:pPr>
        <w:pStyle w:val="36"/>
        <w:numPr>
          <w:ilvl w:val="2"/>
          <w:numId w:val="4"/>
        </w:numPr>
        <w:wordWrap/>
        <w:spacing w:beforeLines="0" w:afterLines="0"/>
        <w:ind w:left="0"/>
        <w:rPr>
          <w:rFonts w:ascii="宋体" w:hAnsi="宋体" w:eastAsia="宋体"/>
        </w:rPr>
      </w:pPr>
      <w:r>
        <w:rPr>
          <w:rFonts w:hint="eastAsia" w:ascii="宋体" w:eastAsia="宋体"/>
        </w:rPr>
        <w:t>应急救援评估结论</w:t>
      </w:r>
    </w:p>
    <w:p>
      <w:pPr>
        <w:pStyle w:val="36"/>
        <w:numPr>
          <w:ilvl w:val="2"/>
          <w:numId w:val="4"/>
        </w:numPr>
        <w:wordWrap/>
        <w:spacing w:beforeLines="0" w:afterLines="0"/>
        <w:ind w:left="0"/>
        <w:rPr>
          <w:rFonts w:ascii="宋体" w:hAnsi="宋体" w:eastAsia="宋体"/>
        </w:rPr>
      </w:pPr>
      <w:r>
        <w:rPr>
          <w:rFonts w:hint="eastAsia" w:ascii="宋体" w:eastAsia="宋体"/>
        </w:rPr>
        <w:t>救援经验做法</w:t>
      </w:r>
    </w:p>
    <w:p>
      <w:pPr>
        <w:pStyle w:val="36"/>
        <w:numPr>
          <w:ilvl w:val="2"/>
          <w:numId w:val="4"/>
        </w:numPr>
        <w:wordWrap/>
        <w:spacing w:beforeLines="0" w:afterLines="0"/>
        <w:ind w:left="0"/>
        <w:rPr>
          <w:rFonts w:ascii="宋体" w:hAnsi="宋体" w:eastAsia="宋体"/>
        </w:rPr>
      </w:pPr>
      <w:r>
        <w:rPr>
          <w:rFonts w:hint="eastAsia" w:ascii="宋体" w:hAnsi="宋体" w:eastAsia="宋体"/>
        </w:rPr>
        <w:t>存在问题不足</w:t>
      </w:r>
    </w:p>
    <w:p>
      <w:pPr>
        <w:keepNext w:val="0"/>
        <w:keepLines w:val="0"/>
        <w:pageBreakBefore w:val="0"/>
        <w:widowControl/>
        <w:numPr>
          <w:ilvl w:val="2"/>
          <w:numId w:val="4"/>
        </w:numPr>
        <w:kinsoku/>
        <w:wordWrap/>
        <w:overflowPunct w:val="0"/>
        <w:topLinePunct w:val="0"/>
        <w:autoSpaceDE w:val="0"/>
        <w:autoSpaceDN w:val="0"/>
        <w:bidi w:val="0"/>
        <w:adjustRightInd/>
        <w:spacing w:beforeLines="0" w:afterLines="0"/>
        <w:ind w:left="0" w:firstLine="0"/>
        <w:jc w:val="both"/>
        <w:textAlignment w:val="baseline"/>
        <w:outlineLvl w:val="3"/>
        <w:rPr>
          <w:lang w:val="en-US" w:eastAsia="zh-CN"/>
        </w:rPr>
      </w:pPr>
      <w:r>
        <w:rPr>
          <w:rFonts w:hint="eastAsia" w:ascii="宋体" w:hAnsi="Times New Roman" w:eastAsia="宋体" w:cs="Times New Roman"/>
          <w:sz w:val="21"/>
          <w:lang w:val="en-US" w:eastAsia="zh-CN" w:bidi="ar-SA"/>
        </w:rPr>
        <w:t>对存在的失职渎职情况，按照有关规定提出处理建议</w:t>
      </w:r>
    </w:p>
    <w:p>
      <w:pPr>
        <w:pStyle w:val="35"/>
        <w:numPr>
          <w:ilvl w:val="1"/>
          <w:numId w:val="4"/>
        </w:numPr>
        <w:snapToGrid w:val="0"/>
        <w:spacing w:before="156" w:afterLines="0"/>
        <w:ind w:left="0"/>
      </w:pPr>
      <w:bookmarkStart w:id="203" w:name="_Toc118880438"/>
      <w:bookmarkStart w:id="204" w:name="_Toc81406867"/>
      <w:bookmarkStart w:id="205" w:name="_Toc61420150"/>
      <w:bookmarkStart w:id="206" w:name="_Toc80692197"/>
      <w:bookmarkStart w:id="207" w:name="_Toc74216882"/>
      <w:bookmarkStart w:id="208" w:name="_Toc118880748"/>
      <w:bookmarkStart w:id="209" w:name="_Toc80869784"/>
      <w:bookmarkStart w:id="210" w:name="_Toc69116551"/>
      <w:bookmarkStart w:id="211" w:name="_Toc74217093"/>
      <w:r>
        <w:rPr>
          <w:rFonts w:hint="eastAsia"/>
        </w:rPr>
        <w:t>工作建议</w:t>
      </w:r>
      <w:bookmarkEnd w:id="203"/>
      <w:bookmarkEnd w:id="204"/>
      <w:bookmarkEnd w:id="205"/>
      <w:bookmarkEnd w:id="206"/>
      <w:bookmarkEnd w:id="207"/>
      <w:bookmarkEnd w:id="208"/>
      <w:bookmarkEnd w:id="209"/>
      <w:bookmarkEnd w:id="210"/>
      <w:bookmarkEnd w:id="211"/>
    </w:p>
    <w:p>
      <w:pPr>
        <w:pStyle w:val="20"/>
        <w:ind w:firstLine="420"/>
      </w:pPr>
      <w:r>
        <w:rPr>
          <w:rFonts w:hint="eastAsia"/>
        </w:rPr>
        <w:t>提出应急救援工作中的建议</w:t>
      </w:r>
      <w:bookmarkEnd w:id="178"/>
    </w:p>
    <w:p>
      <w:pPr>
        <w:pStyle w:val="35"/>
        <w:numPr>
          <w:ilvl w:val="1"/>
          <w:numId w:val="4"/>
        </w:numPr>
        <w:snapToGrid w:val="0"/>
        <w:spacing w:before="156" w:afterLines="0"/>
        <w:ind w:left="0"/>
      </w:pPr>
      <w:r>
        <w:rPr>
          <w:rFonts w:hint="eastAsia"/>
        </w:rPr>
        <w:t>附件</w:t>
      </w:r>
    </w:p>
    <w:p>
      <w:pPr>
        <w:pStyle w:val="20"/>
        <w:ind w:firstLine="420"/>
        <w:rPr>
          <w:rFonts w:hint="eastAsia" w:ascii="宋体" w:hAnsi="Times New Roman" w:eastAsia="宋体" w:cs="Times New Roman"/>
          <w:kern w:val="0"/>
          <w:sz w:val="21"/>
          <w:szCs w:val="20"/>
          <w:lang w:val="en-US" w:eastAsia="zh-CN" w:bidi="ar-SA"/>
        </w:rPr>
      </w:pPr>
      <w:r>
        <w:rPr>
          <w:rFonts w:hint="eastAsia"/>
        </w:rPr>
        <w:t>提供证据文件或图表</w:t>
      </w:r>
    </w:p>
    <w:sectPr>
      <w:footerReference r:id="rId13" w:type="default"/>
      <w:pgSz w:w="11906" w:h="16838"/>
      <w:pgMar w:top="1701" w:right="1418" w:bottom="1418" w:left="1418" w:header="1418" w:footer="1134" w:gutter="284"/>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cs="Times New Roman" w:asciiTheme="minorEastAsia" w:hAnsiTheme="minorEastAsia" w:eastAsiaTheme="minorEastAsia"/>
        <w:kern w:val="2"/>
        <w:sz w:val="18"/>
        <w:szCs w:val="18"/>
        <w:lang w:val="en-US" w:eastAsia="zh-CN" w:bidi="ar-SA"/>
      </w:rPr>
    </w:pPr>
    <w:r>
      <w:rPr>
        <w:rFonts w:ascii="等线" w:hAnsi="等线" w:eastAsia="等线" w:cs="Times New Roman"/>
        <w:kern w:val="2"/>
        <w:sz w:val="18"/>
        <w:szCs w:val="18"/>
        <w:lang w:val="en-US" w:eastAsia="zh-CN" w:bidi="ar-SA"/>
      </w:rPr>
      <w:pict>
        <v:shape id="_x0000_s2055" o:spid="_x0000_s2055" o:spt="202" type="#_x0000_t202" style="position:absolute;left:0pt;margin-top:0pt;height:32.8pt;width:51.05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sdt>
                <w:sdtPr>
                  <w:rPr>
                    <w:rFonts w:ascii="等线" w:hAnsi="等线" w:eastAsia="等线" w:cs="Times New Roman"/>
                    <w:kern w:val="2"/>
                    <w:sz w:val="21"/>
                    <w:szCs w:val="24"/>
                    <w:lang w:val="en-US" w:eastAsia="zh-CN" w:bidi="ar-SA"/>
                  </w:rPr>
                  <w:id w:val="13087599"/>
                </w:sdtPr>
                <w:sdtEndPr>
                  <w:rPr>
                    <w:rFonts w:cs="Times New Roman" w:asciiTheme="minorEastAsia" w:hAnsiTheme="minorEastAsia" w:eastAsiaTheme="minorEastAsia"/>
                    <w:kern w:val="2"/>
                    <w:sz w:val="18"/>
                    <w:szCs w:val="18"/>
                    <w:lang w:val="en-US" w:eastAsia="zh-CN" w:bidi="ar-SA"/>
                  </w:rPr>
                </w:sdtEndPr>
                <w:sdtContent>
                  <w:p>
                    <w:pPr>
                      <w:widowControl w:val="0"/>
                      <w:snapToGrid w:val="0"/>
                      <w:jc w:val="center"/>
                      <w:rPr>
                        <w:rFonts w:cs="Times New Roman" w:asciiTheme="minorEastAsia" w:hAnsiTheme="minorEastAsia" w:eastAsiaTheme="minorEastAsia"/>
                        <w:kern w:val="2"/>
                        <w:sz w:val="18"/>
                        <w:szCs w:val="18"/>
                        <w:lang w:val="en-US" w:eastAsia="zh-CN" w:bidi="ar-SA"/>
                      </w:rPr>
                    </w:pPr>
                    <w:r>
                      <w:rPr>
                        <w:rFonts w:cs="Times New Roman" w:asciiTheme="minorEastAsia" w:hAnsiTheme="minorEastAsia" w:eastAsiaTheme="minorEastAsia"/>
                        <w:kern w:val="2"/>
                        <w:sz w:val="18"/>
                        <w:szCs w:val="18"/>
                        <w:lang w:val="en-US" w:eastAsia="zh-CN" w:bidi="ar-SA"/>
                      </w:rPr>
                      <w:fldChar w:fldCharType="begin"/>
                    </w:r>
                    <w:r>
                      <w:rPr>
                        <w:rFonts w:cs="Times New Roman" w:asciiTheme="minorEastAsia" w:hAnsiTheme="minorEastAsia" w:eastAsiaTheme="minorEastAsia"/>
                        <w:kern w:val="2"/>
                        <w:sz w:val="18"/>
                        <w:szCs w:val="18"/>
                        <w:lang w:val="en-US" w:eastAsia="zh-CN" w:bidi="ar-SA"/>
                      </w:rPr>
                      <w:instrText xml:space="preserve"> PAGE   \* MERGEFORMAT </w:instrText>
                    </w:r>
                    <w:r>
                      <w:rPr>
                        <w:rFonts w:cs="Times New Roman" w:asciiTheme="minorEastAsia" w:hAnsiTheme="minorEastAsia" w:eastAsiaTheme="minorEastAsia"/>
                        <w:kern w:val="2"/>
                        <w:sz w:val="18"/>
                        <w:szCs w:val="18"/>
                        <w:lang w:val="en-US" w:eastAsia="zh-CN" w:bidi="ar-SA"/>
                      </w:rPr>
                      <w:fldChar w:fldCharType="separate"/>
                    </w:r>
                    <w:r>
                      <w:rPr>
                        <w:rFonts w:cs="Times New Roman" w:asciiTheme="minorEastAsia" w:hAnsiTheme="minorEastAsia" w:eastAsiaTheme="minorEastAsia"/>
                        <w:kern w:val="2"/>
                        <w:sz w:val="18"/>
                        <w:szCs w:val="18"/>
                        <w:lang w:val="zh-CN" w:eastAsia="zh-CN" w:bidi="ar-SA"/>
                      </w:rPr>
                      <w:t>I</w:t>
                    </w:r>
                    <w:r>
                      <w:rPr>
                        <w:rFonts w:cs="Times New Roman" w:asciiTheme="minorEastAsia" w:hAnsiTheme="minorEastAsia" w:eastAsiaTheme="minorEastAsia"/>
                        <w:kern w:val="2"/>
                        <w:sz w:val="18"/>
                        <w:szCs w:val="18"/>
                        <w:lang w:val="en-US" w:eastAsia="zh-CN" w:bidi="ar-SA"/>
                      </w:rPr>
                      <w:fldChar w:fldCharType="end"/>
                    </w:r>
                  </w:p>
                </w:sdtContent>
              </w:sdt>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txbxContent>
          </v:textbox>
        </v:shape>
      </w:pict>
    </w:r>
  </w:p>
  <w:p>
    <w:pPr>
      <w:ind w:right="227"/>
      <w:jc w:val="right"/>
      <w:rPr>
        <w:rFonts w:ascii="宋体" w:hAnsi="Times New Roman" w:eastAsia="宋体" w:cs="Times New Roman"/>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cs="Times New Roman" w:asciiTheme="minorEastAsia" w:hAnsiTheme="minorEastAsia" w:eastAsiaTheme="minorEastAsia"/>
        <w:kern w:val="2"/>
        <w:sz w:val="18"/>
        <w:szCs w:val="18"/>
        <w:lang w:val="en-US" w:eastAsia="zh-CN" w:bidi="ar-SA"/>
      </w:rPr>
    </w:pPr>
    <w:r>
      <w:rPr>
        <w:rFonts w:ascii="等线" w:hAnsi="等线" w:eastAsia="等线" w:cs="Times New Roman"/>
        <w:kern w:val="2"/>
        <w:sz w:val="18"/>
        <w:szCs w:val="18"/>
        <w:lang w:val="en-US" w:eastAsia="zh-CN" w:bidi="ar-SA"/>
      </w:rPr>
      <w:pict>
        <v:shape id="_x0000_s2056" o:spid="_x0000_s2056" o:spt="202" type="#_x0000_t202" style="position:absolute;left:0pt;margin-top:0pt;height:32.8pt;width:51.05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sdt>
                <w:sdtPr>
                  <w:rPr>
                    <w:rFonts w:ascii="等线" w:hAnsi="等线" w:eastAsia="等线" w:cs="Times New Roman"/>
                    <w:kern w:val="2"/>
                    <w:sz w:val="21"/>
                    <w:szCs w:val="24"/>
                    <w:lang w:val="en-US" w:eastAsia="zh-CN" w:bidi="ar-SA"/>
                  </w:rPr>
                  <w:id w:val="-630091616"/>
                </w:sdtPr>
                <w:sdtEndPr>
                  <w:rPr>
                    <w:rFonts w:cs="Times New Roman" w:asciiTheme="minorEastAsia" w:hAnsiTheme="minorEastAsia" w:eastAsiaTheme="minorEastAsia"/>
                    <w:kern w:val="2"/>
                    <w:sz w:val="18"/>
                    <w:szCs w:val="18"/>
                    <w:lang w:val="en-US" w:eastAsia="zh-CN" w:bidi="ar-SA"/>
                  </w:rPr>
                </w:sdtEndPr>
                <w:sdtContent>
                  <w:p>
                    <w:pPr>
                      <w:widowControl w:val="0"/>
                      <w:snapToGrid w:val="0"/>
                      <w:jc w:val="center"/>
                      <w:rPr>
                        <w:rFonts w:cs="Times New Roman" w:asciiTheme="minorEastAsia" w:hAnsiTheme="minorEastAsia" w:eastAsiaTheme="minorEastAsia"/>
                        <w:kern w:val="2"/>
                        <w:sz w:val="18"/>
                        <w:szCs w:val="18"/>
                        <w:lang w:val="en-US" w:eastAsia="zh-CN" w:bidi="ar-SA"/>
                      </w:rPr>
                    </w:pPr>
                    <w:r>
                      <w:rPr>
                        <w:rFonts w:cs="Times New Roman" w:asciiTheme="minorEastAsia" w:hAnsiTheme="minorEastAsia" w:eastAsiaTheme="minorEastAsia"/>
                        <w:kern w:val="2"/>
                        <w:sz w:val="18"/>
                        <w:szCs w:val="18"/>
                        <w:lang w:val="en-US" w:eastAsia="zh-CN" w:bidi="ar-SA"/>
                      </w:rPr>
                      <w:fldChar w:fldCharType="begin"/>
                    </w:r>
                    <w:r>
                      <w:rPr>
                        <w:rFonts w:cs="Times New Roman" w:asciiTheme="minorEastAsia" w:hAnsiTheme="minorEastAsia" w:eastAsiaTheme="minorEastAsia"/>
                        <w:kern w:val="2"/>
                        <w:sz w:val="18"/>
                        <w:szCs w:val="18"/>
                        <w:lang w:val="en-US" w:eastAsia="zh-CN" w:bidi="ar-SA"/>
                      </w:rPr>
                      <w:instrText xml:space="preserve"> PAGE   \* MERGEFORMAT </w:instrText>
                    </w:r>
                    <w:r>
                      <w:rPr>
                        <w:rFonts w:cs="Times New Roman" w:asciiTheme="minorEastAsia" w:hAnsiTheme="minorEastAsia" w:eastAsiaTheme="minorEastAsia"/>
                        <w:kern w:val="2"/>
                        <w:sz w:val="18"/>
                        <w:szCs w:val="18"/>
                        <w:lang w:val="en-US" w:eastAsia="zh-CN" w:bidi="ar-SA"/>
                      </w:rPr>
                      <w:fldChar w:fldCharType="separate"/>
                    </w:r>
                    <w:r>
                      <w:rPr>
                        <w:rFonts w:cs="Times New Roman" w:asciiTheme="minorEastAsia" w:hAnsiTheme="minorEastAsia" w:eastAsiaTheme="minorEastAsia"/>
                        <w:kern w:val="2"/>
                        <w:sz w:val="18"/>
                        <w:szCs w:val="18"/>
                        <w:lang w:val="zh-CN" w:eastAsia="zh-CN" w:bidi="ar-SA"/>
                      </w:rPr>
                      <w:t>II</w:t>
                    </w:r>
                    <w:r>
                      <w:rPr>
                        <w:rFonts w:cs="Times New Roman" w:asciiTheme="minorEastAsia" w:hAnsiTheme="minorEastAsia" w:eastAsiaTheme="minorEastAsia"/>
                        <w:kern w:val="2"/>
                        <w:sz w:val="18"/>
                        <w:szCs w:val="18"/>
                        <w:lang w:val="en-US" w:eastAsia="zh-CN" w:bidi="ar-SA"/>
                      </w:rPr>
                      <w:fldChar w:fldCharType="end"/>
                    </w:r>
                  </w:p>
                </w:sdtContent>
              </w:sdt>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txbxContent>
          </v:textbox>
        </v:shape>
      </w:pict>
    </w:r>
  </w:p>
  <w:p>
    <w:pPr>
      <w:ind w:right="227"/>
      <w:jc w:val="right"/>
      <w:rPr>
        <w:rFonts w:ascii="宋体" w:hAnsi="Times New Roman" w:eastAsia="宋体" w:cs="Times New Roman"/>
        <w:sz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left w:val="none" w:color="auto" w:sz="0" w:space="4"/>
        <w:bottom w:val="none" w:color="auto" w:sz="0" w:space="1"/>
        <w:right w:val="none" w:color="auto" w:sz="0" w:space="4"/>
      </w:pBdr>
      <w:jc w:val="both"/>
    </w:pPr>
    <w:r>
      <w:pict>
        <v:shape id="_x0000_s2061" o:spid="_x0000_s2061" o:spt="202" type="#_x0000_t202" style="position:absolute;left:0pt;margin-top:0pt;height:32.8pt;width:51.05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sdt>
                <w:sdtPr>
                  <w:rPr>
                    <w:rFonts w:hint="eastAsia" w:asciiTheme="minorEastAsia" w:hAnsiTheme="minorEastAsia" w:eastAsiaTheme="minorEastAsia" w:cstheme="minorEastAsia"/>
                    <w:sz w:val="18"/>
                    <w:szCs w:val="18"/>
                  </w:rPr>
                  <w:id w:val="-1581451183"/>
                </w:sdtPr>
                <w:sdtEndPr>
                  <w:rPr>
                    <w:rFonts w:hint="eastAsia" w:asciiTheme="minorEastAsia" w:hAnsiTheme="minorEastAsia" w:eastAsiaTheme="minorEastAsia" w:cstheme="minorEastAsia"/>
                    <w:sz w:val="24"/>
                    <w:szCs w:val="24"/>
                  </w:rPr>
                </w:sdtEndPr>
                <w:sdtContent>
                  <w:p>
                    <w:pPr>
                      <w:pStyle w:val="9"/>
                      <w:jc w:val="center"/>
                      <w:rPr>
                        <w:rFonts w:asciiTheme="minorEastAsia" w:hAnsiTheme="minorEastAsia" w:eastAsiaTheme="minorEastAsia"/>
                        <w:sz w:val="24"/>
                        <w:szCs w:val="24"/>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val="zh-CN"/>
                      </w:rPr>
                      <w:t>12</w:t>
                    </w:r>
                    <w:r>
                      <w:rPr>
                        <w:rFonts w:hint="eastAsia" w:asciiTheme="minorEastAsia" w:hAnsiTheme="minorEastAsia" w:eastAsiaTheme="minorEastAsia" w:cstheme="minorEastAsia"/>
                        <w:sz w:val="18"/>
                        <w:szCs w:val="18"/>
                      </w:rPr>
                      <w:fldChar w:fldCharType="end"/>
                    </w:r>
                  </w:p>
                </w:sdtContent>
              </w:sdt>
              <w:p>
                <w:pPr>
                  <w:pStyle w:val="2"/>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left w:val="none" w:color="auto" w:sz="0" w:space="4"/>
        <w:bottom w:val="none" w:color="auto" w:sz="0" w:space="1"/>
        <w:right w:val="none" w:color="auto" w:sz="0" w:space="4"/>
      </w:pBdr>
      <w:jc w:val="both"/>
    </w:pPr>
    <w:r>
      <w:pict>
        <v:shape id="文本框 3" o:spid="_x0000_s2049" o:spt="202" type="#_x0000_t202" style="position:absolute;left:0pt;margin-left:208.4pt;margin-top:9.75pt;height:32.8pt;width:51.05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sp2AEAAJUDAAAOAAAAZHJzL2Uyb0RvYy54bWysU8tu2zAQvBfoPxC817KdxAgEy0GawEWB&#10;tA2Q9gMoipKISlxil7bkfn2XlOX0cSt6IVZLcjgzO9rejX0njgbJgivkarGUwjgNlXVNIb993b+7&#10;lYKCcpXqwJlCngzJu93bN9vB52YNLXSVQcEgjvLBF7INwedZRro1vaIFeON4swbsVeBPbLIK1cDo&#10;fZetl8tNNgBWHkEbIu4+Tptyl/Dr2ujwpa7JBNEVkrmFtGJay7hmu63KG1S+tfpMQ/0Di15Zx49e&#10;oB5VUOKA9i+o3moEgjosNPQZ1LXVJmlgNavlH2peWuVN0sLmkL/YRP8PVn8+vvhnFGF8DyMPMIkg&#10;/wT6OwkHD61yjblHhKE1quKHV9GybPCUn69GqymnCFIOn6DiIatDgAQ01thHV1inYHQewOliuhmD&#10;0NzcXN9eXd1IoXnrerW52aShZCqfL3uk8MFAL2JRSOSZJnB1fKIQyah8PhLfcrC3XZfm2rnfGnww&#10;dhL5yHdiHsZyFLYq5Doqi1pKqE6sBmFKC6ebixbwhxQDJ6WQjqMsRffRsR8xVHOBc1HOhXKaLxYy&#10;SDGVD2EK38GjbVrGnR2/Z8/2Nul55XAmy7NPMs85jeH69Tudev2bdj8BAAD//wMAUEsDBBQABgAI&#10;AAAAIQAEFDc23AAAAAkBAAAPAAAAZHJzL2Rvd25yZXYueG1sTI/BTsMwEETvSPyDtUjcqBNESprG&#10;qVAlLtwoCImbG2+TqPY6st00+XuWExxHM5p5U+9mZ8WEIQ6eFOSrDARS681AnYLPj9eHEkRMmoy2&#10;nlDBghF2ze1NrSvjr/SO0yF1gksoVlpBn9JYSRnbHp2OKz8isXfywenEMnTSBH3lcmflY5atpdMD&#10;8UKvR9z32J4PF6fgef7yOEbc4/dpakM/LKV9W5S6v5tftiASzukvDL/4jA4NMx39hUwUVsFTvmb0&#10;xMamAMGBIi83II4KyiIH2dTy/4PmBwAA//8DAFBLAQItABQABgAIAAAAIQC2gziS/gAAAOEBAAAT&#10;AAAAAAAAAAAAAAAAAAAAAABbQ29udGVudF9UeXBlc10ueG1sUEsBAi0AFAAGAAgAAAAhADj9If/W&#10;AAAAlAEAAAsAAAAAAAAAAAAAAAAALwEAAF9yZWxzLy5yZWxzUEsBAi0AFAAGAAgAAAAhACuLeynY&#10;AQAAlQMAAA4AAAAAAAAAAAAAAAAALgIAAGRycy9lMm9Eb2MueG1sUEsBAi0AFAAGAAgAAAAhAAQU&#10;NzbcAAAACQEAAA8AAAAAAAAAAAAAAAAAMgQAAGRycy9kb3ducmV2LnhtbFBLBQYAAAAABAAEAPMA&#10;AAA7BQAAAAA=&#10;">
          <v:path/>
          <v:fill on="f" focussize="0,0"/>
          <v:stroke on="f" joinstyle="miter"/>
          <v:imagedata o:title=""/>
          <o:lock v:ext="edit"/>
          <v:textbox inset="0mm,0mm,0mm,0mm" style="mso-fit-shape-to-text:t;">
            <w:txbxContent>
              <w:sdt>
                <w:sdtPr>
                  <w:rPr>
                    <w:rFonts w:hint="default"/>
                    <w:lang w:val="en-US"/>
                  </w:rPr>
                  <w:id w:val="-1581451183"/>
                </w:sdtPr>
                <w:sdtEndPr>
                  <w:rPr>
                    <w:rFonts w:hint="default" w:asciiTheme="minorEastAsia" w:hAnsiTheme="minorEastAsia" w:eastAsiaTheme="minorEastAsia"/>
                    <w:sz w:val="24"/>
                    <w:szCs w:val="24"/>
                    <w:lang w:val="en-US"/>
                  </w:rPr>
                </w:sdtEndPr>
                <w:sdtContent>
                  <w:p>
                    <w:pPr>
                      <w:pStyle w:val="9"/>
                      <w:jc w:val="center"/>
                      <w:rPr>
                        <w:rFonts w:asciiTheme="minorEastAsia" w:hAnsiTheme="minorEastAsia" w:eastAsiaTheme="minorEastAsia"/>
                        <w:sz w:val="24"/>
                        <w:szCs w:val="24"/>
                      </w:rPr>
                    </w:pPr>
                    <w:r>
                      <w:rPr>
                        <w:rFonts w:hint="eastAsia"/>
                        <w:lang w:val="en-US" w:eastAsia="zh-CN"/>
                      </w:rPr>
                      <w:t>11</w:t>
                    </w:r>
                  </w:p>
                </w:sdtContent>
              </w:sdt>
              <w:p>
                <w:pPr>
                  <w:pStyle w:val="2"/>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jc w:val="right"/>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AQ</w:t>
    </w:r>
    <w:r>
      <w:rPr>
        <w:rFonts w:ascii="Times New Roman" w:hAnsi="Times New Roman" w:eastAsia="宋体" w:cs="Times New Roman"/>
        <w:sz w:val="21"/>
        <w:lang w:val="en-US" w:eastAsia="zh-CN" w:bidi="ar-S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rFonts w:hint="eastAsia"/>
      </w:rPr>
      <w:t>AQ</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068B0"/>
    <w:multiLevelType w:val="multilevel"/>
    <w:tmpl w:val="007068B0"/>
    <w:lvl w:ilvl="0" w:tentative="0">
      <w:start w:val="1"/>
      <w:numFmt w:val="lowerLetter"/>
      <w:pStyle w:val="44"/>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8CF0DCA"/>
    <w:multiLevelType w:val="multilevel"/>
    <w:tmpl w:val="08CF0DCA"/>
    <w:lvl w:ilvl="0" w:tentative="0">
      <w:start w:val="1"/>
      <w:numFmt w:val="lowerLetter"/>
      <w:pStyle w:val="47"/>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BCE08F5"/>
    <w:multiLevelType w:val="multilevel"/>
    <w:tmpl w:val="0BCE08F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18B2B5F"/>
    <w:multiLevelType w:val="multilevel"/>
    <w:tmpl w:val="118B2B5F"/>
    <w:lvl w:ilvl="0" w:tentative="0">
      <w:start w:val="1"/>
      <w:numFmt w:val="lowerLetter"/>
      <w:lvlText w:val="%1)"/>
      <w:lvlJc w:val="left"/>
      <w:pPr>
        <w:ind w:left="840" w:hanging="420"/>
      </w:pPr>
    </w:lvl>
    <w:lvl w:ilvl="1" w:tentative="0">
      <w:start w:val="1"/>
      <w:numFmt w:val="lowerRoman"/>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416A23"/>
    <w:multiLevelType w:val="multilevel"/>
    <w:tmpl w:val="1A416A23"/>
    <w:lvl w:ilvl="0" w:tentative="0">
      <w:start w:val="1"/>
      <w:numFmt w:val="lowerLetter"/>
      <w:lvlText w:val="%1)"/>
      <w:lvlJc w:val="left"/>
      <w:pPr>
        <w:ind w:left="840" w:hanging="420"/>
      </w:pPr>
    </w:lvl>
    <w:lvl w:ilvl="1" w:tentative="0">
      <w:start w:val="0"/>
      <w:numFmt w:val="bullet"/>
      <w:lvlText w:val=""/>
      <w:lvlJc w:val="left"/>
      <w:pPr>
        <w:ind w:left="1350" w:hanging="510"/>
      </w:pPr>
      <w:rPr>
        <w:rFonts w:hint="default" w:ascii="Wingdings" w:hAnsi="Wingdings" w:eastAsia="宋体" w:cs="Times New Roman"/>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626482B"/>
    <w:multiLevelType w:val="multilevel"/>
    <w:tmpl w:val="2626482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F9750F6"/>
    <w:multiLevelType w:val="multilevel"/>
    <w:tmpl w:val="2F9750F6"/>
    <w:lvl w:ilvl="0" w:tentative="0">
      <w:start w:val="1"/>
      <w:numFmt w:val="lowerLetter"/>
      <w:lvlText w:val="%1)"/>
      <w:lvlJc w:val="left"/>
      <w:pPr>
        <w:ind w:left="840" w:hanging="420"/>
      </w:pPr>
    </w:lvl>
    <w:lvl w:ilvl="1" w:tentative="0">
      <w:start w:val="1"/>
      <w:numFmt w:val="lowerRoman"/>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3DB16C7"/>
    <w:multiLevelType w:val="multilevel"/>
    <w:tmpl w:val="33DB16C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4C50F90"/>
    <w:multiLevelType w:val="multilevel"/>
    <w:tmpl w:val="44C50F90"/>
    <w:lvl w:ilvl="0" w:tentative="0">
      <w:start w:val="1"/>
      <w:numFmt w:val="lowerLetter"/>
      <w:pStyle w:val="32"/>
      <w:lvlText w:val="%1)"/>
      <w:lvlJc w:val="left"/>
      <w:pPr>
        <w:tabs>
          <w:tab w:val="left" w:pos="851"/>
        </w:tabs>
        <w:ind w:left="851" w:hanging="426"/>
      </w:pPr>
      <w:rPr>
        <w:rFonts w:hint="eastAsia" w:ascii="宋体" w:hAnsi="Times New Roman" w:eastAsia="宋体"/>
        <w:sz w:val="21"/>
      </w:rPr>
    </w:lvl>
    <w:lvl w:ilvl="1" w:tentative="0">
      <w:start w:val="1"/>
      <w:numFmt w:val="decimal"/>
      <w:pStyle w:val="35"/>
      <w:lvlText w:val="%2)"/>
      <w:lvlJc w:val="left"/>
      <w:pPr>
        <w:tabs>
          <w:tab w:val="left" w:pos="1276"/>
        </w:tabs>
        <w:ind w:left="1276" w:hanging="425"/>
      </w:pPr>
      <w:rPr>
        <w:rFonts w:hint="eastAsia" w:ascii="宋体" w:hAnsi="Times New Roman" w:eastAsia="宋体"/>
        <w:sz w:val="21"/>
      </w:rPr>
    </w:lvl>
    <w:lvl w:ilvl="2" w:tentative="0">
      <w:start w:val="1"/>
      <w:numFmt w:val="decimal"/>
      <w:pStyle w:val="3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C35584F"/>
    <w:multiLevelType w:val="multilevel"/>
    <w:tmpl w:val="4C35584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F246F53"/>
    <w:multiLevelType w:val="multilevel"/>
    <w:tmpl w:val="4F246F5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38"/>
      <w:suff w:val="space"/>
      <w:lvlText w:val="表%1.%2"/>
      <w:lvlJc w:val="center"/>
      <w:pPr>
        <w:ind w:left="0" w:firstLine="0"/>
      </w:pPr>
      <w:rPr>
        <w:rFonts w:hint="eastAsia" w:ascii="黑体" w:eastAsia="黑体"/>
        <w:sz w:val="21"/>
      </w:rPr>
    </w:lvl>
    <w:lvl w:ilvl="2" w:tentative="0">
      <w:start w:val="1"/>
      <w:numFmt w:val="decimal"/>
      <w:pStyle w:val="39"/>
      <w:lvlText w:val="%1.%2.%3"/>
      <w:lvlJc w:val="left"/>
      <w:pPr>
        <w:ind w:left="1418" w:hanging="567"/>
      </w:pPr>
      <w:rPr>
        <w:rFonts w:hint="eastAsia"/>
      </w:rPr>
    </w:lvl>
    <w:lvl w:ilvl="3" w:tentative="0">
      <w:start w:val="1"/>
      <w:numFmt w:val="decimal"/>
      <w:pStyle w:val="28"/>
      <w:lvlText w:val="%1.%2.%3.%4"/>
      <w:lvlJc w:val="left"/>
      <w:pPr>
        <w:ind w:left="1984" w:hanging="708"/>
      </w:pPr>
      <w:rPr>
        <w:rFonts w:hint="eastAsia"/>
      </w:rPr>
    </w:lvl>
    <w:lvl w:ilvl="4" w:tentative="0">
      <w:start w:val="1"/>
      <w:numFmt w:val="decimal"/>
      <w:pStyle w:val="31"/>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57D3FBC"/>
    <w:multiLevelType w:val="multilevel"/>
    <w:tmpl w:val="657D3FBC"/>
    <w:lvl w:ilvl="0" w:tentative="0">
      <w:start w:val="1"/>
      <w:numFmt w:val="upperLetter"/>
      <w:pStyle w:val="41"/>
      <w:suff w:val="nothing"/>
      <w:lvlText w:val="附录%1"/>
      <w:lvlJc w:val="left"/>
      <w:pPr>
        <w:ind w:left="2520" w:firstLine="0"/>
      </w:pPr>
      <w:rPr>
        <w:rFonts w:hint="default"/>
        <w:color w:val="auto"/>
        <w:spacing w:val="100"/>
      </w:rPr>
    </w:lvl>
    <w:lvl w:ilvl="1" w:tentative="0">
      <w:start w:val="1"/>
      <w:numFmt w:val="decimal"/>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1135"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426" w:firstLine="0"/>
      </w:pPr>
      <w:rPr>
        <w:rFonts w:hint="eastAsia" w:ascii="黑体" w:eastAsia="黑体"/>
        <w:b w:val="0"/>
        <w:i w:val="0"/>
        <w:sz w:val="21"/>
      </w:rPr>
    </w:lvl>
    <w:lvl w:ilvl="4" w:tentative="0">
      <w:start w:val="1"/>
      <w:numFmt w:val="decimal"/>
      <w:suff w:val="nothing"/>
      <w:lvlText w:val="%1%2.%3.%4.%5　"/>
      <w:lvlJc w:val="left"/>
      <w:pPr>
        <w:ind w:left="1702" w:firstLine="0"/>
      </w:pPr>
      <w:rPr>
        <w:rFonts w:hint="eastAsia" w:ascii="黑体" w:eastAsia="黑体"/>
        <w:b w:val="0"/>
        <w:i w:val="0"/>
        <w:sz w:val="21"/>
      </w:rPr>
    </w:lvl>
    <w:lvl w:ilvl="5" w:tentative="0">
      <w:start w:val="1"/>
      <w:numFmt w:val="decimal"/>
      <w:suff w:val="nothing"/>
      <w:lvlText w:val="%1%2.%3.%4.%5.%6　"/>
      <w:lvlJc w:val="left"/>
      <w:pPr>
        <w:ind w:left="1985"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315453E"/>
    <w:multiLevelType w:val="multilevel"/>
    <w:tmpl w:val="7315453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529770D"/>
    <w:multiLevelType w:val="multilevel"/>
    <w:tmpl w:val="7529770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6EF0A82"/>
    <w:multiLevelType w:val="multilevel"/>
    <w:tmpl w:val="76EF0A82"/>
    <w:lvl w:ilvl="0" w:tentative="0">
      <w:start w:val="1"/>
      <w:numFmt w:val="lowerLetter"/>
      <w:pStyle w:val="40"/>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8"/>
  </w:num>
  <w:num w:numId="3">
    <w:abstractNumId w:val="17"/>
  </w:num>
  <w:num w:numId="4">
    <w:abstractNumId w:val="13"/>
  </w:num>
  <w:num w:numId="5">
    <w:abstractNumId w:val="0"/>
  </w:num>
  <w:num w:numId="6">
    <w:abstractNumId w:val="1"/>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3"/>
  </w:num>
  <w:num w:numId="16">
    <w:abstractNumId w:val="16"/>
  </w:num>
  <w:num w:numId="17">
    <w:abstractNumId w:val="10"/>
  </w:num>
  <w:num w:numId="18">
    <w:abstractNumId w:val="7"/>
  </w:num>
  <w:num w:numId="19">
    <w:abstractNumId w:val="2"/>
  </w:num>
  <w:num w:numId="20">
    <w:abstractNumId w:val="5"/>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3MzcxNjQxOWNiZTk1NzRhNjdlNjhhNGFhOTlhMDYifQ=="/>
  </w:docVars>
  <w:rsids>
    <w:rsidRoot w:val="596840A6"/>
    <w:rsid w:val="00002D16"/>
    <w:rsid w:val="00006F73"/>
    <w:rsid w:val="00007EFD"/>
    <w:rsid w:val="000127DC"/>
    <w:rsid w:val="00032932"/>
    <w:rsid w:val="00047087"/>
    <w:rsid w:val="00047F1B"/>
    <w:rsid w:val="00050092"/>
    <w:rsid w:val="00050F98"/>
    <w:rsid w:val="00053AB0"/>
    <w:rsid w:val="00055D7D"/>
    <w:rsid w:val="00061072"/>
    <w:rsid w:val="000639C0"/>
    <w:rsid w:val="00064136"/>
    <w:rsid w:val="00070792"/>
    <w:rsid w:val="00075C35"/>
    <w:rsid w:val="00077792"/>
    <w:rsid w:val="000858D6"/>
    <w:rsid w:val="00086601"/>
    <w:rsid w:val="000921D7"/>
    <w:rsid w:val="00094451"/>
    <w:rsid w:val="000A0472"/>
    <w:rsid w:val="000B2BA5"/>
    <w:rsid w:val="000B5C80"/>
    <w:rsid w:val="000C5D16"/>
    <w:rsid w:val="000D1450"/>
    <w:rsid w:val="000D35C6"/>
    <w:rsid w:val="000D3F42"/>
    <w:rsid w:val="000F6A41"/>
    <w:rsid w:val="00100554"/>
    <w:rsid w:val="00105265"/>
    <w:rsid w:val="00105E9A"/>
    <w:rsid w:val="001132A9"/>
    <w:rsid w:val="00113E01"/>
    <w:rsid w:val="00120E4C"/>
    <w:rsid w:val="0012132D"/>
    <w:rsid w:val="00122014"/>
    <w:rsid w:val="001325AB"/>
    <w:rsid w:val="00141750"/>
    <w:rsid w:val="0015193A"/>
    <w:rsid w:val="00155CBE"/>
    <w:rsid w:val="0015689B"/>
    <w:rsid w:val="00156D90"/>
    <w:rsid w:val="001570F2"/>
    <w:rsid w:val="00164080"/>
    <w:rsid w:val="00165FA7"/>
    <w:rsid w:val="0017261B"/>
    <w:rsid w:val="00173623"/>
    <w:rsid w:val="00190695"/>
    <w:rsid w:val="00192CF7"/>
    <w:rsid w:val="001A5D22"/>
    <w:rsid w:val="001C3450"/>
    <w:rsid w:val="001D0BC1"/>
    <w:rsid w:val="001D221D"/>
    <w:rsid w:val="001D489B"/>
    <w:rsid w:val="001E489A"/>
    <w:rsid w:val="001F2BAC"/>
    <w:rsid w:val="001F4621"/>
    <w:rsid w:val="001F528B"/>
    <w:rsid w:val="001F7FDC"/>
    <w:rsid w:val="00200957"/>
    <w:rsid w:val="0020160D"/>
    <w:rsid w:val="00205021"/>
    <w:rsid w:val="00207E2A"/>
    <w:rsid w:val="00210BB5"/>
    <w:rsid w:val="002147D7"/>
    <w:rsid w:val="002215BB"/>
    <w:rsid w:val="002249CB"/>
    <w:rsid w:val="00227202"/>
    <w:rsid w:val="0023639E"/>
    <w:rsid w:val="00253054"/>
    <w:rsid w:val="00255267"/>
    <w:rsid w:val="00277570"/>
    <w:rsid w:val="00282701"/>
    <w:rsid w:val="002835CC"/>
    <w:rsid w:val="002837F4"/>
    <w:rsid w:val="00283C87"/>
    <w:rsid w:val="00283F46"/>
    <w:rsid w:val="002873F1"/>
    <w:rsid w:val="00291563"/>
    <w:rsid w:val="002943CF"/>
    <w:rsid w:val="002B0461"/>
    <w:rsid w:val="002C12EF"/>
    <w:rsid w:val="002C74D2"/>
    <w:rsid w:val="002E070F"/>
    <w:rsid w:val="002E4A59"/>
    <w:rsid w:val="002E7867"/>
    <w:rsid w:val="002F3090"/>
    <w:rsid w:val="002F5FEF"/>
    <w:rsid w:val="002F6F6B"/>
    <w:rsid w:val="003037FF"/>
    <w:rsid w:val="003112E0"/>
    <w:rsid w:val="003246BA"/>
    <w:rsid w:val="00336440"/>
    <w:rsid w:val="00344C46"/>
    <w:rsid w:val="00354A44"/>
    <w:rsid w:val="0036117C"/>
    <w:rsid w:val="00365962"/>
    <w:rsid w:val="00372BCA"/>
    <w:rsid w:val="00386196"/>
    <w:rsid w:val="003920DB"/>
    <w:rsid w:val="0039346A"/>
    <w:rsid w:val="003A2F40"/>
    <w:rsid w:val="003B0C3E"/>
    <w:rsid w:val="003B16EE"/>
    <w:rsid w:val="003C0DD3"/>
    <w:rsid w:val="003C3B62"/>
    <w:rsid w:val="003C584D"/>
    <w:rsid w:val="003C76E9"/>
    <w:rsid w:val="003D68B2"/>
    <w:rsid w:val="003E2AD0"/>
    <w:rsid w:val="003E713A"/>
    <w:rsid w:val="003F2B85"/>
    <w:rsid w:val="003F2E72"/>
    <w:rsid w:val="003F411E"/>
    <w:rsid w:val="003F710A"/>
    <w:rsid w:val="00405316"/>
    <w:rsid w:val="0040715D"/>
    <w:rsid w:val="00421296"/>
    <w:rsid w:val="0043081C"/>
    <w:rsid w:val="0043699B"/>
    <w:rsid w:val="00442994"/>
    <w:rsid w:val="00443A3B"/>
    <w:rsid w:val="00443E5E"/>
    <w:rsid w:val="00451C35"/>
    <w:rsid w:val="00453ED8"/>
    <w:rsid w:val="004673AB"/>
    <w:rsid w:val="00467FE7"/>
    <w:rsid w:val="00476CB8"/>
    <w:rsid w:val="00483B69"/>
    <w:rsid w:val="00484762"/>
    <w:rsid w:val="00494440"/>
    <w:rsid w:val="004A27E1"/>
    <w:rsid w:val="004B1022"/>
    <w:rsid w:val="004B3C5C"/>
    <w:rsid w:val="004B7EEA"/>
    <w:rsid w:val="004C2796"/>
    <w:rsid w:val="004C5887"/>
    <w:rsid w:val="004C6963"/>
    <w:rsid w:val="004E12FC"/>
    <w:rsid w:val="004E21AE"/>
    <w:rsid w:val="004E347B"/>
    <w:rsid w:val="004E58C1"/>
    <w:rsid w:val="004F404C"/>
    <w:rsid w:val="004F5E6E"/>
    <w:rsid w:val="00504B66"/>
    <w:rsid w:val="00513305"/>
    <w:rsid w:val="005144D2"/>
    <w:rsid w:val="00523E52"/>
    <w:rsid w:val="0052427B"/>
    <w:rsid w:val="00524FF7"/>
    <w:rsid w:val="00531C30"/>
    <w:rsid w:val="005535FE"/>
    <w:rsid w:val="00555BA2"/>
    <w:rsid w:val="005565D4"/>
    <w:rsid w:val="00557AA3"/>
    <w:rsid w:val="00557D21"/>
    <w:rsid w:val="00572F8C"/>
    <w:rsid w:val="0057303B"/>
    <w:rsid w:val="00576693"/>
    <w:rsid w:val="00587B46"/>
    <w:rsid w:val="00587D5B"/>
    <w:rsid w:val="00590187"/>
    <w:rsid w:val="005908B3"/>
    <w:rsid w:val="00591FD1"/>
    <w:rsid w:val="005A0D7E"/>
    <w:rsid w:val="005A34C7"/>
    <w:rsid w:val="005A4309"/>
    <w:rsid w:val="005A7837"/>
    <w:rsid w:val="005B435E"/>
    <w:rsid w:val="005B5539"/>
    <w:rsid w:val="005B557A"/>
    <w:rsid w:val="005C06CE"/>
    <w:rsid w:val="005C1C2A"/>
    <w:rsid w:val="005C34EB"/>
    <w:rsid w:val="005D7761"/>
    <w:rsid w:val="005E2840"/>
    <w:rsid w:val="005F6C03"/>
    <w:rsid w:val="0060471D"/>
    <w:rsid w:val="0061445F"/>
    <w:rsid w:val="00623EEE"/>
    <w:rsid w:val="0062520E"/>
    <w:rsid w:val="00627B2B"/>
    <w:rsid w:val="00630BF6"/>
    <w:rsid w:val="00632F72"/>
    <w:rsid w:val="00635E5A"/>
    <w:rsid w:val="00640853"/>
    <w:rsid w:val="006419BA"/>
    <w:rsid w:val="0064561C"/>
    <w:rsid w:val="006525C6"/>
    <w:rsid w:val="0066006B"/>
    <w:rsid w:val="00660F7E"/>
    <w:rsid w:val="006668BC"/>
    <w:rsid w:val="00670323"/>
    <w:rsid w:val="00670571"/>
    <w:rsid w:val="006746F5"/>
    <w:rsid w:val="0067592D"/>
    <w:rsid w:val="0068622F"/>
    <w:rsid w:val="00693FDE"/>
    <w:rsid w:val="00694525"/>
    <w:rsid w:val="00695629"/>
    <w:rsid w:val="00697C6F"/>
    <w:rsid w:val="006A219C"/>
    <w:rsid w:val="006A2485"/>
    <w:rsid w:val="006A41B2"/>
    <w:rsid w:val="006A504F"/>
    <w:rsid w:val="006B166A"/>
    <w:rsid w:val="006B1AD0"/>
    <w:rsid w:val="006B34F2"/>
    <w:rsid w:val="006B629A"/>
    <w:rsid w:val="006C001B"/>
    <w:rsid w:val="006C19E5"/>
    <w:rsid w:val="006C3291"/>
    <w:rsid w:val="006D5305"/>
    <w:rsid w:val="006D6771"/>
    <w:rsid w:val="006E37EE"/>
    <w:rsid w:val="006E3D6B"/>
    <w:rsid w:val="006F3DD6"/>
    <w:rsid w:val="006F76A8"/>
    <w:rsid w:val="00700B2E"/>
    <w:rsid w:val="00701CFC"/>
    <w:rsid w:val="00703E18"/>
    <w:rsid w:val="00704281"/>
    <w:rsid w:val="00705606"/>
    <w:rsid w:val="0070572B"/>
    <w:rsid w:val="00706B96"/>
    <w:rsid w:val="00712E8B"/>
    <w:rsid w:val="00716077"/>
    <w:rsid w:val="00721892"/>
    <w:rsid w:val="0072203C"/>
    <w:rsid w:val="00722440"/>
    <w:rsid w:val="007247FB"/>
    <w:rsid w:val="00726D3D"/>
    <w:rsid w:val="00731997"/>
    <w:rsid w:val="007328F4"/>
    <w:rsid w:val="0074556A"/>
    <w:rsid w:val="00755FB7"/>
    <w:rsid w:val="00756332"/>
    <w:rsid w:val="00756EC3"/>
    <w:rsid w:val="0075796F"/>
    <w:rsid w:val="00764BF0"/>
    <w:rsid w:val="00774311"/>
    <w:rsid w:val="0077686D"/>
    <w:rsid w:val="00776A35"/>
    <w:rsid w:val="00780F1E"/>
    <w:rsid w:val="00781299"/>
    <w:rsid w:val="00784D8A"/>
    <w:rsid w:val="007850A6"/>
    <w:rsid w:val="00787D82"/>
    <w:rsid w:val="00790D93"/>
    <w:rsid w:val="00790F9C"/>
    <w:rsid w:val="007A1B65"/>
    <w:rsid w:val="007B0F5E"/>
    <w:rsid w:val="007B2012"/>
    <w:rsid w:val="007C4406"/>
    <w:rsid w:val="007D0B89"/>
    <w:rsid w:val="007D5630"/>
    <w:rsid w:val="007D6486"/>
    <w:rsid w:val="007E4E88"/>
    <w:rsid w:val="007F3608"/>
    <w:rsid w:val="007F3F28"/>
    <w:rsid w:val="007F7484"/>
    <w:rsid w:val="008039F3"/>
    <w:rsid w:val="008043B9"/>
    <w:rsid w:val="00816BB1"/>
    <w:rsid w:val="00820E5A"/>
    <w:rsid w:val="0083200F"/>
    <w:rsid w:val="00833D2B"/>
    <w:rsid w:val="00834399"/>
    <w:rsid w:val="0084107B"/>
    <w:rsid w:val="0084250C"/>
    <w:rsid w:val="0084629C"/>
    <w:rsid w:val="008513E1"/>
    <w:rsid w:val="008555A3"/>
    <w:rsid w:val="008560F5"/>
    <w:rsid w:val="0086097E"/>
    <w:rsid w:val="0086635E"/>
    <w:rsid w:val="00872EE2"/>
    <w:rsid w:val="008847C4"/>
    <w:rsid w:val="00893669"/>
    <w:rsid w:val="00894516"/>
    <w:rsid w:val="008A0766"/>
    <w:rsid w:val="008A4D44"/>
    <w:rsid w:val="008A7D0C"/>
    <w:rsid w:val="008B11C3"/>
    <w:rsid w:val="008B7358"/>
    <w:rsid w:val="008C3D14"/>
    <w:rsid w:val="008C7AAB"/>
    <w:rsid w:val="008D77E1"/>
    <w:rsid w:val="008E0516"/>
    <w:rsid w:val="008E0E27"/>
    <w:rsid w:val="008E24C4"/>
    <w:rsid w:val="00905CAE"/>
    <w:rsid w:val="00905EE1"/>
    <w:rsid w:val="009113BA"/>
    <w:rsid w:val="00912F0F"/>
    <w:rsid w:val="0091549C"/>
    <w:rsid w:val="00917362"/>
    <w:rsid w:val="00921445"/>
    <w:rsid w:val="009347C7"/>
    <w:rsid w:val="009448BE"/>
    <w:rsid w:val="00946E86"/>
    <w:rsid w:val="00946F21"/>
    <w:rsid w:val="009514BE"/>
    <w:rsid w:val="009526F8"/>
    <w:rsid w:val="0097124E"/>
    <w:rsid w:val="009723F6"/>
    <w:rsid w:val="009774F2"/>
    <w:rsid w:val="00986C81"/>
    <w:rsid w:val="00992919"/>
    <w:rsid w:val="00994A52"/>
    <w:rsid w:val="009A08A7"/>
    <w:rsid w:val="009A5F2B"/>
    <w:rsid w:val="009A726A"/>
    <w:rsid w:val="009B42CF"/>
    <w:rsid w:val="009C18B1"/>
    <w:rsid w:val="009C4F76"/>
    <w:rsid w:val="009C5069"/>
    <w:rsid w:val="009D1184"/>
    <w:rsid w:val="009D2638"/>
    <w:rsid w:val="009E19A8"/>
    <w:rsid w:val="009E3787"/>
    <w:rsid w:val="009E4D5E"/>
    <w:rsid w:val="009F0500"/>
    <w:rsid w:val="00A02738"/>
    <w:rsid w:val="00A03397"/>
    <w:rsid w:val="00A129DB"/>
    <w:rsid w:val="00A158A0"/>
    <w:rsid w:val="00A15EBA"/>
    <w:rsid w:val="00A17F6C"/>
    <w:rsid w:val="00A20753"/>
    <w:rsid w:val="00A236A9"/>
    <w:rsid w:val="00A24A9B"/>
    <w:rsid w:val="00A25A5D"/>
    <w:rsid w:val="00A31016"/>
    <w:rsid w:val="00A31821"/>
    <w:rsid w:val="00A34CA7"/>
    <w:rsid w:val="00A50AEE"/>
    <w:rsid w:val="00A54155"/>
    <w:rsid w:val="00A62325"/>
    <w:rsid w:val="00A62D72"/>
    <w:rsid w:val="00A738B5"/>
    <w:rsid w:val="00A82725"/>
    <w:rsid w:val="00A83B65"/>
    <w:rsid w:val="00A85782"/>
    <w:rsid w:val="00A900A1"/>
    <w:rsid w:val="00A90428"/>
    <w:rsid w:val="00AC0E1A"/>
    <w:rsid w:val="00AC2932"/>
    <w:rsid w:val="00AD0F01"/>
    <w:rsid w:val="00AD23C2"/>
    <w:rsid w:val="00AD4722"/>
    <w:rsid w:val="00AD4E00"/>
    <w:rsid w:val="00AD6DBC"/>
    <w:rsid w:val="00AF2B44"/>
    <w:rsid w:val="00AF6710"/>
    <w:rsid w:val="00B001D3"/>
    <w:rsid w:val="00B07A17"/>
    <w:rsid w:val="00B109C2"/>
    <w:rsid w:val="00B2025E"/>
    <w:rsid w:val="00B26146"/>
    <w:rsid w:val="00B3002F"/>
    <w:rsid w:val="00B300B7"/>
    <w:rsid w:val="00B32BDD"/>
    <w:rsid w:val="00B42912"/>
    <w:rsid w:val="00B56ECD"/>
    <w:rsid w:val="00B71498"/>
    <w:rsid w:val="00B71E0E"/>
    <w:rsid w:val="00B80B6F"/>
    <w:rsid w:val="00B85249"/>
    <w:rsid w:val="00B91288"/>
    <w:rsid w:val="00BA0E8F"/>
    <w:rsid w:val="00BB765B"/>
    <w:rsid w:val="00BC0ACE"/>
    <w:rsid w:val="00BC14E4"/>
    <w:rsid w:val="00BD1DF1"/>
    <w:rsid w:val="00BE57E7"/>
    <w:rsid w:val="00C02137"/>
    <w:rsid w:val="00C05D7F"/>
    <w:rsid w:val="00C10769"/>
    <w:rsid w:val="00C16C28"/>
    <w:rsid w:val="00C2103C"/>
    <w:rsid w:val="00C210CC"/>
    <w:rsid w:val="00C21AB7"/>
    <w:rsid w:val="00C27E66"/>
    <w:rsid w:val="00C30072"/>
    <w:rsid w:val="00C3542E"/>
    <w:rsid w:val="00C37543"/>
    <w:rsid w:val="00C4411E"/>
    <w:rsid w:val="00C510DC"/>
    <w:rsid w:val="00C54C6C"/>
    <w:rsid w:val="00C55191"/>
    <w:rsid w:val="00C55F71"/>
    <w:rsid w:val="00C70707"/>
    <w:rsid w:val="00C75A27"/>
    <w:rsid w:val="00C84FC8"/>
    <w:rsid w:val="00C91320"/>
    <w:rsid w:val="00C95978"/>
    <w:rsid w:val="00CB0D19"/>
    <w:rsid w:val="00CC22A9"/>
    <w:rsid w:val="00CC3340"/>
    <w:rsid w:val="00CC5039"/>
    <w:rsid w:val="00CC586D"/>
    <w:rsid w:val="00CD065E"/>
    <w:rsid w:val="00CD3C79"/>
    <w:rsid w:val="00CD5366"/>
    <w:rsid w:val="00CE3484"/>
    <w:rsid w:val="00CE37B1"/>
    <w:rsid w:val="00CE5531"/>
    <w:rsid w:val="00CE7B83"/>
    <w:rsid w:val="00CF04FD"/>
    <w:rsid w:val="00CF2848"/>
    <w:rsid w:val="00CF7277"/>
    <w:rsid w:val="00D02C03"/>
    <w:rsid w:val="00D05709"/>
    <w:rsid w:val="00D178BA"/>
    <w:rsid w:val="00D215B2"/>
    <w:rsid w:val="00D278BD"/>
    <w:rsid w:val="00D32B87"/>
    <w:rsid w:val="00D32D6C"/>
    <w:rsid w:val="00D417D6"/>
    <w:rsid w:val="00D44646"/>
    <w:rsid w:val="00D564D9"/>
    <w:rsid w:val="00D61F72"/>
    <w:rsid w:val="00D63AB5"/>
    <w:rsid w:val="00D6596E"/>
    <w:rsid w:val="00D7091F"/>
    <w:rsid w:val="00D728C1"/>
    <w:rsid w:val="00D7333B"/>
    <w:rsid w:val="00D73F0A"/>
    <w:rsid w:val="00D774DF"/>
    <w:rsid w:val="00D87B51"/>
    <w:rsid w:val="00D87C91"/>
    <w:rsid w:val="00D903C9"/>
    <w:rsid w:val="00D926BF"/>
    <w:rsid w:val="00D95F01"/>
    <w:rsid w:val="00DA1749"/>
    <w:rsid w:val="00DA3DAF"/>
    <w:rsid w:val="00DA7E73"/>
    <w:rsid w:val="00DD364C"/>
    <w:rsid w:val="00DD5EEA"/>
    <w:rsid w:val="00DE6F67"/>
    <w:rsid w:val="00E07E07"/>
    <w:rsid w:val="00E26D81"/>
    <w:rsid w:val="00E27AB7"/>
    <w:rsid w:val="00E377AB"/>
    <w:rsid w:val="00E4133C"/>
    <w:rsid w:val="00E420FA"/>
    <w:rsid w:val="00E43A29"/>
    <w:rsid w:val="00E5005F"/>
    <w:rsid w:val="00E51723"/>
    <w:rsid w:val="00E54E72"/>
    <w:rsid w:val="00E60106"/>
    <w:rsid w:val="00E70305"/>
    <w:rsid w:val="00E71F5F"/>
    <w:rsid w:val="00E734E8"/>
    <w:rsid w:val="00E752DA"/>
    <w:rsid w:val="00E8617D"/>
    <w:rsid w:val="00E86AC7"/>
    <w:rsid w:val="00E96D91"/>
    <w:rsid w:val="00E97901"/>
    <w:rsid w:val="00EA4178"/>
    <w:rsid w:val="00EA55A5"/>
    <w:rsid w:val="00EB0DC2"/>
    <w:rsid w:val="00EB1190"/>
    <w:rsid w:val="00EB2219"/>
    <w:rsid w:val="00EB23FD"/>
    <w:rsid w:val="00EC160B"/>
    <w:rsid w:val="00EC6219"/>
    <w:rsid w:val="00EE162B"/>
    <w:rsid w:val="00EE1E89"/>
    <w:rsid w:val="00EE2EF0"/>
    <w:rsid w:val="00EE3258"/>
    <w:rsid w:val="00EE6AF4"/>
    <w:rsid w:val="00EF1849"/>
    <w:rsid w:val="00EF6368"/>
    <w:rsid w:val="00F0415B"/>
    <w:rsid w:val="00F04406"/>
    <w:rsid w:val="00F06391"/>
    <w:rsid w:val="00F23266"/>
    <w:rsid w:val="00F23281"/>
    <w:rsid w:val="00F24434"/>
    <w:rsid w:val="00F2587B"/>
    <w:rsid w:val="00F26E0D"/>
    <w:rsid w:val="00F27223"/>
    <w:rsid w:val="00F35413"/>
    <w:rsid w:val="00F36FA9"/>
    <w:rsid w:val="00F429E1"/>
    <w:rsid w:val="00F45B09"/>
    <w:rsid w:val="00F45B97"/>
    <w:rsid w:val="00F50D6B"/>
    <w:rsid w:val="00F54B1D"/>
    <w:rsid w:val="00F54F25"/>
    <w:rsid w:val="00F63BFE"/>
    <w:rsid w:val="00F66AE4"/>
    <w:rsid w:val="00F6747F"/>
    <w:rsid w:val="00F75C7D"/>
    <w:rsid w:val="00F81DC6"/>
    <w:rsid w:val="00F8291E"/>
    <w:rsid w:val="00F82C7C"/>
    <w:rsid w:val="00FA01A5"/>
    <w:rsid w:val="00FA49EF"/>
    <w:rsid w:val="00FB0062"/>
    <w:rsid w:val="00FB022B"/>
    <w:rsid w:val="00FB63A2"/>
    <w:rsid w:val="00FD7BAF"/>
    <w:rsid w:val="00FE676B"/>
    <w:rsid w:val="062C21B1"/>
    <w:rsid w:val="0847755F"/>
    <w:rsid w:val="085A603B"/>
    <w:rsid w:val="0B5A3C50"/>
    <w:rsid w:val="0EFB135B"/>
    <w:rsid w:val="11BF1E87"/>
    <w:rsid w:val="15DE3AC5"/>
    <w:rsid w:val="177072E4"/>
    <w:rsid w:val="17CD7B3F"/>
    <w:rsid w:val="1C7B37A8"/>
    <w:rsid w:val="1CE8B85B"/>
    <w:rsid w:val="1E390C9F"/>
    <w:rsid w:val="21FE759C"/>
    <w:rsid w:val="239A32E7"/>
    <w:rsid w:val="27C654AE"/>
    <w:rsid w:val="29F0067F"/>
    <w:rsid w:val="2D676D28"/>
    <w:rsid w:val="2FEDBC2A"/>
    <w:rsid w:val="304030C0"/>
    <w:rsid w:val="31D1451F"/>
    <w:rsid w:val="337BC19D"/>
    <w:rsid w:val="35745C18"/>
    <w:rsid w:val="35F91BE9"/>
    <w:rsid w:val="3A0B55D7"/>
    <w:rsid w:val="3A3A14FA"/>
    <w:rsid w:val="3FEFB7F8"/>
    <w:rsid w:val="3FFE6DA3"/>
    <w:rsid w:val="3FFF8CBA"/>
    <w:rsid w:val="41CA0520"/>
    <w:rsid w:val="477FDE8D"/>
    <w:rsid w:val="48133E7F"/>
    <w:rsid w:val="4A8D1C10"/>
    <w:rsid w:val="4B426510"/>
    <w:rsid w:val="4CFA489E"/>
    <w:rsid w:val="51601C9F"/>
    <w:rsid w:val="52174914"/>
    <w:rsid w:val="5429409D"/>
    <w:rsid w:val="578F4217"/>
    <w:rsid w:val="58EF12DE"/>
    <w:rsid w:val="5930071B"/>
    <w:rsid w:val="596840A6"/>
    <w:rsid w:val="59F27B21"/>
    <w:rsid w:val="5BE36290"/>
    <w:rsid w:val="5D590070"/>
    <w:rsid w:val="604069F6"/>
    <w:rsid w:val="6AECA43A"/>
    <w:rsid w:val="6C213F2E"/>
    <w:rsid w:val="6C7B4985"/>
    <w:rsid w:val="6EB42D97"/>
    <w:rsid w:val="6EFB5761"/>
    <w:rsid w:val="6F3F9B59"/>
    <w:rsid w:val="711F7F62"/>
    <w:rsid w:val="718921C5"/>
    <w:rsid w:val="77DDE5D9"/>
    <w:rsid w:val="780659D7"/>
    <w:rsid w:val="7A658AE7"/>
    <w:rsid w:val="7BFFF72A"/>
    <w:rsid w:val="7D7FF2C3"/>
    <w:rsid w:val="7D9F8734"/>
    <w:rsid w:val="7DEE78CA"/>
    <w:rsid w:val="7DFFA850"/>
    <w:rsid w:val="7ED20221"/>
    <w:rsid w:val="7EDED9FB"/>
    <w:rsid w:val="7F54E3B4"/>
    <w:rsid w:val="7F7E25B3"/>
    <w:rsid w:val="7FBCDE46"/>
    <w:rsid w:val="7FC84271"/>
    <w:rsid w:val="7FCFF759"/>
    <w:rsid w:val="7FDCB8CA"/>
    <w:rsid w:val="7FFF6D89"/>
    <w:rsid w:val="83E799CD"/>
    <w:rsid w:val="AEBFB98A"/>
    <w:rsid w:val="C26F194A"/>
    <w:rsid w:val="DF7D88A6"/>
    <w:rsid w:val="F37F3895"/>
    <w:rsid w:val="F9FE7F03"/>
    <w:rsid w:val="F9FFDFF5"/>
    <w:rsid w:val="FD8B5456"/>
    <w:rsid w:val="FDFFB621"/>
    <w:rsid w:val="FEDEF1DB"/>
    <w:rsid w:val="FF7D0AC3"/>
    <w:rsid w:val="FF8F9761"/>
    <w:rsid w:val="FFEB99A8"/>
    <w:rsid w:val="FFFC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5">
    <w:name w:val="heading 1"/>
    <w:basedOn w:val="1"/>
    <w:next w:val="1"/>
    <w:link w:val="51"/>
    <w:qFormat/>
    <w:uiPriority w:val="0"/>
    <w:pPr>
      <w:keepNext/>
      <w:keepLines/>
      <w:spacing w:line="600" w:lineRule="exact"/>
      <w:jc w:val="center"/>
      <w:outlineLvl w:val="0"/>
    </w:pPr>
    <w:rPr>
      <w:rFonts w:ascii="微软雅黑" w:hAnsi="微软雅黑" w:eastAsia="微软雅黑" w:cstheme="minorBidi"/>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Normal Indent"/>
    <w:basedOn w:val="1"/>
    <w:next w:val="1"/>
    <w:qFormat/>
    <w:uiPriority w:val="99"/>
    <w:pPr>
      <w:ind w:firstLine="420" w:firstLineChars="200"/>
    </w:pPr>
    <w:rPr>
      <w:rFonts w:eastAsia="仿宋"/>
    </w:rPr>
  </w:style>
  <w:style w:type="paragraph" w:styleId="6">
    <w:name w:val="Body Text"/>
    <w:basedOn w:val="1"/>
    <w:link w:val="52"/>
    <w:qFormat/>
    <w:uiPriority w:val="0"/>
    <w:pPr>
      <w:spacing w:after="120" w:line="560" w:lineRule="exact"/>
      <w:ind w:firstLine="420" w:firstLineChars="200"/>
    </w:pPr>
    <w:rPr>
      <w:rFonts w:ascii="方正仿宋_GBK" w:hAnsi="方正仿宋_GBK" w:eastAsia="方正仿宋_GBK" w:cstheme="minorBidi"/>
      <w:sz w:val="32"/>
      <w:szCs w:val="22"/>
    </w:rPr>
  </w:style>
  <w:style w:type="paragraph" w:styleId="7">
    <w:name w:val="toc 3"/>
    <w:basedOn w:val="1"/>
    <w:next w:val="1"/>
    <w:unhideWhenUsed/>
    <w:qFormat/>
    <w:uiPriority w:val="39"/>
    <w:pPr>
      <w:ind w:left="840" w:leftChars="400"/>
    </w:pPr>
  </w:style>
  <w:style w:type="paragraph" w:styleId="8">
    <w:name w:val="Balloon Text"/>
    <w:basedOn w:val="1"/>
    <w:link w:val="50"/>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adjustRightInd w:val="0"/>
      <w:spacing w:line="400" w:lineRule="exact"/>
    </w:pPr>
    <w:rPr>
      <w:rFonts w:ascii="宋体" w:hAnsi="Times New Roman" w:eastAsia="宋体"/>
      <w:szCs w:val="21"/>
    </w:rPr>
  </w:style>
  <w:style w:type="paragraph" w:styleId="12">
    <w:name w:val="toc 2"/>
    <w:basedOn w:val="1"/>
    <w:next w:val="1"/>
    <w:qFormat/>
    <w:uiPriority w:val="39"/>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rPr>
      <w:rFonts w:cs="Times New Roman"/>
    </w:rPr>
  </w:style>
  <w:style w:type="character" w:styleId="17">
    <w:name w:val="Hyperlink"/>
    <w:basedOn w:val="15"/>
    <w:qFormat/>
    <w:uiPriority w:val="99"/>
    <w:rPr>
      <w:color w:val="0000FF"/>
      <w:u w:val="single"/>
    </w:rPr>
  </w:style>
  <w:style w:type="character" w:customStyle="1" w:styleId="18">
    <w:name w:val="页眉 Char"/>
    <w:basedOn w:val="15"/>
    <w:link w:val="10"/>
    <w:qFormat/>
    <w:uiPriority w:val="99"/>
    <w:rPr>
      <w:rFonts w:ascii="等线" w:hAnsi="等线" w:eastAsia="等线"/>
      <w:kern w:val="2"/>
      <w:sz w:val="18"/>
      <w:szCs w:val="18"/>
    </w:rPr>
  </w:style>
  <w:style w:type="character" w:customStyle="1" w:styleId="19">
    <w:name w:val="页脚 Char"/>
    <w:basedOn w:val="15"/>
    <w:link w:val="9"/>
    <w:qFormat/>
    <w:uiPriority w:val="99"/>
    <w:rPr>
      <w:rFonts w:ascii="等线" w:hAnsi="等线" w:eastAsia="等线"/>
      <w:kern w:val="2"/>
      <w:sz w:val="18"/>
      <w:szCs w:val="18"/>
    </w:rPr>
  </w:style>
  <w:style w:type="paragraph" w:customStyle="1" w:styleId="20">
    <w:name w:val="标准文件_段"/>
    <w:link w:val="2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标准文件_段 Char"/>
    <w:link w:val="20"/>
    <w:qFormat/>
    <w:uiPriority w:val="0"/>
    <w:rPr>
      <w:rFonts w:ascii="宋体"/>
      <w:sz w:val="21"/>
    </w:rPr>
  </w:style>
  <w:style w:type="paragraph" w:customStyle="1" w:styleId="22">
    <w:name w:val="标准文件_目录标题"/>
    <w:basedOn w:val="1"/>
    <w:qFormat/>
    <w:uiPriority w:val="0"/>
    <w:pPr>
      <w:adjustRightInd w:val="0"/>
      <w:spacing w:afterLines="150"/>
      <w:jc w:val="center"/>
    </w:pPr>
    <w:rPr>
      <w:rFonts w:ascii="黑体" w:hAnsi="Times New Roman" w:eastAsia="黑体"/>
      <w:sz w:val="32"/>
      <w:szCs w:val="21"/>
    </w:rPr>
  </w:style>
  <w:style w:type="paragraph" w:customStyle="1" w:styleId="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25">
    <w:name w:val="实施日期"/>
    <w:basedOn w:val="26"/>
    <w:qFormat/>
    <w:uiPriority w:val="0"/>
    <w:pPr>
      <w:framePr w:hSpace="0" w:xAlign="right"/>
      <w:jc w:val="right"/>
    </w:pPr>
  </w:style>
  <w:style w:type="paragraph" w:customStyle="1" w:styleId="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8">
    <w:name w:val="标准文件_二级条标题"/>
    <w:next w:val="20"/>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29">
    <w:name w:val="标准标志"/>
    <w:next w:val="1"/>
    <w:qFormat/>
    <w:uiPriority w:val="99"/>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1">
    <w:name w:val="标准文件_三级条标题"/>
    <w:basedOn w:val="28"/>
    <w:next w:val="20"/>
    <w:qFormat/>
    <w:uiPriority w:val="0"/>
    <w:pPr>
      <w:widowControl/>
      <w:numPr>
        <w:ilvl w:val="4"/>
      </w:numPr>
      <w:outlineLvl w:val="3"/>
    </w:pPr>
  </w:style>
  <w:style w:type="paragraph" w:customStyle="1" w:styleId="32">
    <w:name w:val="标准文件_附录标识"/>
    <w:next w:val="20"/>
    <w:qFormat/>
    <w:uiPriority w:val="0"/>
    <w:pPr>
      <w:numPr>
        <w:ilvl w:val="0"/>
        <w:numId w:val="2"/>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33">
    <w:name w:val="发布部门"/>
    <w:next w:val="20"/>
    <w:link w:val="3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34">
    <w:name w:val="发布部门 Char"/>
    <w:link w:val="33"/>
    <w:qFormat/>
    <w:uiPriority w:val="0"/>
    <w:rPr>
      <w:rFonts w:ascii="宋体"/>
      <w:b/>
      <w:w w:val="135"/>
      <w:sz w:val="36"/>
    </w:rPr>
  </w:style>
  <w:style w:type="paragraph" w:customStyle="1" w:styleId="35">
    <w:name w:val="标准文件_附录一级条标题"/>
    <w:next w:val="20"/>
    <w:qFormat/>
    <w:uiPriority w:val="0"/>
    <w:pPr>
      <w:widowControl w:val="0"/>
      <w:numPr>
        <w:ilvl w:val="1"/>
        <w:numId w:val="2"/>
      </w:numPr>
      <w:tabs>
        <w:tab w:val="left" w:pos="851"/>
      </w:tabs>
      <w:spacing w:beforeLines="50" w:afterLines="50"/>
      <w:jc w:val="both"/>
      <w:outlineLvl w:val="2"/>
    </w:pPr>
    <w:rPr>
      <w:rFonts w:ascii="黑体" w:hAnsi="Times New Roman" w:eastAsia="黑体" w:cs="Times New Roman"/>
      <w:kern w:val="21"/>
      <w:sz w:val="21"/>
      <w:lang w:val="en-US" w:eastAsia="zh-CN" w:bidi="ar-SA"/>
    </w:rPr>
  </w:style>
  <w:style w:type="paragraph" w:customStyle="1" w:styleId="36">
    <w:name w:val="标准文件_附录二级条标题"/>
    <w:basedOn w:val="35"/>
    <w:next w:val="20"/>
    <w:qFormat/>
    <w:uiPriority w:val="0"/>
    <w:pPr>
      <w:widowControl/>
      <w:numPr>
        <w:ilvl w:val="2"/>
      </w:numPr>
      <w:wordWrap w:val="0"/>
      <w:overflowPunct w:val="0"/>
      <w:autoSpaceDE w:val="0"/>
      <w:autoSpaceDN w:val="0"/>
      <w:textAlignment w:val="baseline"/>
      <w:outlineLvl w:val="3"/>
    </w:p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
    <w:name w:val="标准文件_章标题"/>
    <w:next w:val="20"/>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39">
    <w:name w:val="标准文件_一级条标题"/>
    <w:basedOn w:val="38"/>
    <w:next w:val="20"/>
    <w:qFormat/>
    <w:uiPriority w:val="0"/>
    <w:pPr>
      <w:numPr>
        <w:ilvl w:val="2"/>
      </w:numPr>
      <w:spacing w:beforeLines="50" w:afterLines="50"/>
      <w:outlineLvl w:val="1"/>
    </w:pPr>
  </w:style>
  <w:style w:type="paragraph" w:customStyle="1" w:styleId="40">
    <w:name w:val="标准文件_字母编号列项（一级）"/>
    <w:qFormat/>
    <w:uiPriority w:val="0"/>
    <w:pPr>
      <w:numPr>
        <w:ilvl w:val="0"/>
        <w:numId w:val="3"/>
      </w:numPr>
      <w:tabs>
        <w:tab w:val="left" w:pos="851"/>
      </w:tabs>
      <w:jc w:val="both"/>
    </w:pPr>
    <w:rPr>
      <w:rFonts w:ascii="宋体" w:hAnsi="Times New Roman" w:eastAsia="宋体" w:cs="Times New Roman"/>
      <w:sz w:val="21"/>
      <w:lang w:val="en-US" w:eastAsia="zh-CN" w:bidi="ar-SA"/>
    </w:rPr>
  </w:style>
  <w:style w:type="paragraph" w:customStyle="1" w:styleId="41">
    <w:name w:val="标准文件_前言、引言标题"/>
    <w:next w:val="1"/>
    <w:qFormat/>
    <w:uiPriority w:val="0"/>
    <w:pPr>
      <w:numPr>
        <w:ilvl w:val="0"/>
        <w:numId w:val="4"/>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42">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43">
    <w:name w:val="标准文件_文件名称"/>
    <w:basedOn w:val="20"/>
    <w:next w:val="2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44">
    <w:name w:val="标准文件_附录表标号"/>
    <w:basedOn w:val="20"/>
    <w:next w:val="20"/>
    <w:qFormat/>
    <w:uiPriority w:val="0"/>
    <w:pPr>
      <w:numPr>
        <w:ilvl w:val="0"/>
        <w:numId w:val="5"/>
      </w:numPr>
      <w:spacing w:line="14" w:lineRule="exact"/>
      <w:ind w:firstLine="0" w:firstLineChars="0"/>
      <w:jc w:val="center"/>
    </w:pPr>
    <w:rPr>
      <w:rFonts w:eastAsia="黑体"/>
      <w:vanish/>
      <w:sz w:val="2"/>
    </w:rPr>
  </w:style>
  <w:style w:type="paragraph" w:customStyle="1" w:styleId="45">
    <w:name w:val="封面正文"/>
    <w:qFormat/>
    <w:uiPriority w:val="0"/>
    <w:pPr>
      <w:jc w:val="both"/>
    </w:pPr>
    <w:rPr>
      <w:rFonts w:ascii="Times New Roman" w:hAnsi="Times New Roman" w:eastAsia="宋体" w:cs="Times New Roman"/>
      <w:lang w:val="en-US" w:eastAsia="zh-CN" w:bidi="ar-SA"/>
    </w:rPr>
  </w:style>
  <w:style w:type="paragraph" w:customStyle="1" w:styleId="4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47">
    <w:name w:val="标准文件_附录图标号"/>
    <w:basedOn w:val="20"/>
    <w:next w:val="2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48">
    <w:name w:val="封面标准号2"/>
    <w:basedOn w:val="1"/>
    <w:qFormat/>
    <w:uiPriority w:val="0"/>
    <w:pPr>
      <w:kinsoku w:val="0"/>
      <w:overflowPunct w:val="0"/>
      <w:autoSpaceDE w:val="0"/>
      <w:autoSpaceDN w:val="0"/>
      <w:adjustRightInd w:val="0"/>
      <w:spacing w:before="357" w:line="280" w:lineRule="exact"/>
      <w:jc w:val="right"/>
      <w:textAlignment w:val="center"/>
    </w:pPr>
    <w:rPr>
      <w:rFonts w:ascii="Times New Roman" w:hAnsi="Times New Roman" w:eastAsia="宋体"/>
      <w:kern w:val="0"/>
      <w:sz w:val="28"/>
      <w:szCs w:val="20"/>
    </w:rPr>
  </w:style>
  <w:style w:type="paragraph" w:customStyle="1" w:styleId="4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50">
    <w:name w:val="批注框文本 Char"/>
    <w:basedOn w:val="15"/>
    <w:link w:val="8"/>
    <w:qFormat/>
    <w:uiPriority w:val="0"/>
    <w:rPr>
      <w:rFonts w:ascii="等线" w:hAnsi="等线" w:eastAsia="等线"/>
      <w:kern w:val="2"/>
      <w:sz w:val="18"/>
      <w:szCs w:val="18"/>
    </w:rPr>
  </w:style>
  <w:style w:type="character" w:customStyle="1" w:styleId="51">
    <w:name w:val="标题 1 Char"/>
    <w:basedOn w:val="15"/>
    <w:link w:val="5"/>
    <w:qFormat/>
    <w:uiPriority w:val="0"/>
    <w:rPr>
      <w:rFonts w:ascii="微软雅黑" w:hAnsi="微软雅黑" w:eastAsia="微软雅黑" w:cstheme="minorBidi"/>
      <w:kern w:val="44"/>
      <w:sz w:val="44"/>
      <w:szCs w:val="44"/>
    </w:rPr>
  </w:style>
  <w:style w:type="character" w:customStyle="1" w:styleId="52">
    <w:name w:val="正文文本 Char"/>
    <w:basedOn w:val="15"/>
    <w:link w:val="6"/>
    <w:qFormat/>
    <w:uiPriority w:val="0"/>
    <w:rPr>
      <w:rFonts w:ascii="方正仿宋_GBK" w:hAnsi="方正仿宋_GBK" w:eastAsia="方正仿宋_GBK" w:cstheme="minorBidi"/>
      <w:kern w:val="2"/>
      <w:sz w:val="32"/>
      <w:szCs w:val="22"/>
    </w:rPr>
  </w:style>
  <w:style w:type="paragraph" w:customStyle="1" w:styleId="53">
    <w:name w:val="li_正文"/>
    <w:basedOn w:val="1"/>
    <w:qFormat/>
    <w:uiPriority w:val="0"/>
    <w:pPr>
      <w:overflowPunct w:val="0"/>
      <w:topLinePunct/>
      <w:ind w:firstLine="480" w:firstLineChars="200"/>
      <w:jc w:val="left"/>
    </w:pPr>
    <w:rPr>
      <w:rFonts w:ascii="Calibri" w:hAnsi="Calibri" w:eastAsia="仿宋_GB2312"/>
      <w:sz w:val="28"/>
      <w:szCs w:val="28"/>
    </w:rPr>
  </w:style>
  <w:style w:type="paragraph" w:customStyle="1" w:styleId="54">
    <w:name w:val="修订1"/>
    <w:hidden/>
    <w:semiHidden/>
    <w:qFormat/>
    <w:uiPriority w:val="99"/>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5"/>
    <customShpInfo spid="_x0000_s2056"/>
    <customShpInfo spid="_x0000_s2061"/>
    <customShpInfo spid="_x0000_s2049"/>
    <customShpInfo spid="_x0000_s1026"/>
    <customShpInfo spid="_x0000_s1027"/>
    <customShpInfo spid="_x0000_s1028"/>
    <customShpInfo spid="_x0000_s1029"/>
    <customShpInfo spid="_x0000_s1030"/>
    <customShpInfo spid="_x0000_s1031"/>
    <customShpInfo spid="_x0000_s1032"/>
    <customShpInfo spid="_x0000_s1035"/>
    <customShpInfo spid="_x0000_s1034"/>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Pages>
  <Words>6987</Words>
  <Characters>7204</Characters>
  <Lines>61</Lines>
  <Paragraphs>17</Paragraphs>
  <TotalTime>4</TotalTime>
  <ScaleCrop>false</ScaleCrop>
  <LinksUpToDate>false</LinksUpToDate>
  <CharactersWithSpaces>7846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2023-05-25T16:39:00Z</dcterms:created>
  <dc:creator>茴香馅的小包子</dc:creator>
  <cp:lastModifiedBy>yj</cp:lastModifiedBy>
  <cp:lastPrinted>2023-08-11T16:35:21Z</cp:lastPrinted>
  <dcterms:modified xsi:type="dcterms:W3CDTF">2023-08-11T16:35:30Z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4C599E5C395546E3B6DADBDB6FA9E23F_13</vt:lpwstr>
  </property>
</Properties>
</file>